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SOP-800</w:t>
      </w:r>
    </w:p>
    <w:p>
      <w:pPr>
        <w:pStyle w:val="Title"/>
        <w:pBdr>
          <w:bottom w:val="single" w:sz="12" w:space="1" w:color="1F3864"/>
        </w:pBdr>
        <w:spacing w:after="120"/>
      </w:pPr>
      <w:r>
        <w:rPr>
          <w:b w:val="0"/>
          <w:color w:val="1F3864"/>
          <w:sz w:val="36"/>
        </w:rPr>
        <w:t>Sponsor-Investigator Responsibilities (IND/IDE Holder)</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Investigator-Initiated Research</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the additional obligations that apply when an investigator at </w:t>
      </w:r>
      <w:r>
        <w:rPr>
          <w:b w:val="0"/>
          <w:highlight w:val="yellow"/>
        </w:rPr>
        <w:t>[SITE NAME]</w:t>
      </w:r>
      <w:r>
        <w:rPr>
          <w:b w:val="0"/>
        </w:rPr>
        <w:t xml:space="preserve"> both initiates and conducts a clinical investigation as a sponsor-investigator, including the decision whether an IND or IDE is needed, the submission, the sponsor duties that follow, safety and progress reporting to FDA, and ClinicalTrials.gov registration and results reporting. It is a supplemental SOP. It is used only if the site conducts investigator-initiated trials (IITs) of FDA-regulated products.</w:t>
      </w:r>
    </w:p>
    <w:p>
      <w:pPr>
        <w:pStyle w:val="Heading1"/>
      </w:pPr>
      <w:r>
        <w:t>2. Scope</w:t>
      </w:r>
    </w:p>
    <w:p>
      <w:pPr/>
      <w:r>
        <w:rPr>
          <w:b w:val="0"/>
        </w:rPr>
        <w:t xml:space="preserve">This SOP applies when a PI at </w:t>
      </w:r>
      <w:r>
        <w:rPr>
          <w:b w:val="0"/>
          <w:highlight w:val="yellow"/>
        </w:rPr>
        <w:t>[SITE NAME]</w:t>
      </w:r>
      <w:r>
        <w:rPr>
          <w:b w:val="0"/>
        </w:rPr>
        <w:t xml:space="preserve"> is, or proposes to be, the sponsor of a clinical investigation of a drug, biologic or device, whether or not the investigation needs an IND or IDE, and whether or not a company provides product or funding.</w:t>
      </w:r>
    </w:p>
    <w:p>
      <w:pPr/>
      <w:r>
        <w:rPr>
          <w:b w:val="0"/>
        </w:rPr>
        <w:t>It does not apply to industry-sponsored studies, where the company is the sponsor, or to studies where another institution or a CRO holds the IND or IDE and the site participates only as an investigator site.</w:t>
      </w:r>
    </w:p>
    <w:p>
      <w:pPr/>
      <w:r>
        <w:rPr>
          <w:b w:val="0"/>
        </w:rPr>
        <w:t>This SOP is high-level. Sponsor obligations are extensive and product-specific. The site's other SOPs continue to apply to the investigator side of the study. Where FDA, the IRB, a funder or a product supplier sets a stricter requirement, follow it.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whether </w:t>
            </w:r>
            <w:r>
              <w:rPr>
                <w:b w:val="0"/>
                <w:sz w:val="20"/>
                <w:highlight w:val="yellow"/>
              </w:rPr>
              <w:t>[SITE NAME]</w:t>
            </w:r>
            <w:r>
              <w:rPr>
                <w:b w:val="0"/>
                <w:sz w:val="20"/>
              </w:rPr>
              <w:t xml:space="preserve"> will conduct sponsor-investigator studies at all. If it will, the Site Director approves each proposed IIT before submission and records the decision on F-200-01 Study Feasibility Assessment. The site should engage a qualified regulatory consultant or CRO for IND or IDE preparation, safety reporting and monitoring unless an investigator or staff member has documented sponsor experience.</w:t>
            </w:r>
          </w:p>
        </w:tc>
      </w:tr>
    </w:tbl>
    <w:p>
      <w:pPr>
        <w:spacing w:after="0"/>
      </w:pP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Sponsor-Investigator (the PI)</w:t>
            </w:r>
          </w:p>
        </w:tc>
        <w:tc>
          <w:tcPr>
            <w:tcW w:type="dxa" w:w="6946"/>
          </w:tcPr>
          <w:p>
            <w:pPr>
              <w:keepNext/>
              <w:spacing w:after="0"/>
            </w:pPr>
            <w:r>
              <w:rPr>
                <w:b w:val="0"/>
                <w:sz w:val="19"/>
              </w:rPr>
              <w:t>Holds all sponsor obligations and all investigator obligations. Signs FDA submissions. May delegate sponsor tasks to qualified people or service providers but keeps responsibility for them.</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Approves the decision to take on the study as sponsor-investigator, provides resources and budget for sponsor functions, and approves service provider contracts.</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Confirms that sponsor procedures are in place before the study starts, includes the study in the internal audit plan (SOP-700), and tracks sponsor reporting deadlines.</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Prepares and tracks FDA, IRB and ClinicalTrials.gov submissions and keeps the sponsor regulatory file.</w:t>
            </w:r>
          </w:p>
        </w:tc>
      </w:tr>
      <w:tr>
        <w:trPr>
          <w:cantSplit w:val="true"/>
        </w:trPr>
        <w:tc>
          <w:tcPr>
            <w:tcW w:type="dxa" w:w="2701"/>
          </w:tcPr>
          <w:p>
            <w:pPr>
              <w:keepNext/>
              <w:spacing w:after="0"/>
            </w:pPr>
            <w:r>
              <w:rPr>
                <w:b w:val="0"/>
                <w:sz w:val="19"/>
              </w:rPr>
              <w:t>Regulatory consultant or CRO</w:t>
            </w:r>
          </w:p>
        </w:tc>
        <w:tc>
          <w:tcPr>
            <w:tcW w:type="dxa" w:w="6946"/>
          </w:tcPr>
          <w:p>
            <w:pPr>
              <w:keepNext/>
              <w:spacing w:after="0"/>
            </w:pPr>
            <w:r>
              <w:rPr>
                <w:b w:val="0"/>
                <w:sz w:val="19"/>
              </w:rPr>
              <w:t>Performs sponsor tasks contracted to it (for example, IND or IDE preparation, monitoring, safety reporting, data management), under SOP-105 Oversight of Service Providers and Vendors.</w:t>
            </w:r>
          </w:p>
        </w:tc>
      </w:tr>
      <w:tr>
        <w:trPr>
          <w:cantSplit w:val="true"/>
        </w:trPr>
        <w:tc>
          <w:tcPr>
            <w:tcW w:type="dxa" w:w="2701"/>
          </w:tcPr>
          <w:p>
            <w:pPr>
              <w:spacing w:after="0"/>
            </w:pPr>
            <w:r>
              <w:rPr>
                <w:b w:val="0"/>
                <w:sz w:val="19"/>
              </w:rPr>
              <w:t>Finance / Contracts Lead</w:t>
            </w:r>
          </w:p>
        </w:tc>
        <w:tc>
          <w:tcPr>
            <w:tcW w:type="dxa" w:w="6946"/>
          </w:tcPr>
          <w:p>
            <w:pPr>
              <w:spacing w:after="0"/>
            </w:pPr>
            <w:r>
              <w:rPr>
                <w:b w:val="0"/>
                <w:sz w:val="19"/>
              </w:rPr>
              <w:t>Negotiates agreements with funders and product suppliers, including supply, cross-reference rights and insurance.</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Sponsor-investigator</w:t>
            </w:r>
          </w:p>
        </w:tc>
        <w:tc>
          <w:tcPr>
            <w:tcW w:type="dxa" w:w="6946"/>
          </w:tcPr>
          <w:p>
            <w:pPr>
              <w:spacing w:after="0"/>
            </w:pPr>
            <w:r>
              <w:rPr>
                <w:b w:val="0"/>
                <w:sz w:val="19"/>
              </w:rPr>
              <w:t>An individual who both initiates and conducts, alone or with others, a clinical trial, and under whose immediate direction the investigational product is administered to, dispensed to or used by a participant. The term does not include a corporation or an agency. A sponsor-investigator has the obligations of both a sponsor and an investigator (ICH E6(R3) Glossary; 21 CFR 312.3(b); 21 CFR 812.3(o)).</w:t>
            </w:r>
          </w:p>
        </w:tc>
      </w:tr>
      <w:tr>
        <w:trPr>
          <w:cantSplit w:val="true"/>
        </w:trPr>
        <w:tc>
          <w:tcPr>
            <w:tcW w:type="dxa" w:w="2701"/>
          </w:tcPr>
          <w:p>
            <w:pPr>
              <w:spacing w:after="0"/>
            </w:pPr>
            <w:r>
              <w:rPr>
                <w:b w:val="0"/>
                <w:sz w:val="19"/>
              </w:rPr>
              <w:t>Investigator-initiated trial (IIT)</w:t>
            </w:r>
          </w:p>
        </w:tc>
        <w:tc>
          <w:tcPr>
            <w:tcW w:type="dxa" w:w="6946"/>
          </w:tcPr>
          <w:p>
            <w:pPr>
              <w:spacing w:after="0"/>
            </w:pPr>
            <w:r>
              <w:rPr>
                <w:b w:val="0"/>
                <w:sz w:val="19"/>
              </w:rPr>
              <w:t>A study designed and led by an investigator rather than a company. The investigator, or the investigator's institution, is the sponsor.</w:t>
            </w:r>
          </w:p>
        </w:tc>
      </w:tr>
      <w:tr>
        <w:trPr>
          <w:cantSplit w:val="true"/>
        </w:trPr>
        <w:tc>
          <w:tcPr>
            <w:tcW w:type="dxa" w:w="2701"/>
          </w:tcPr>
          <w:p>
            <w:pPr>
              <w:spacing w:after="0"/>
            </w:pPr>
            <w:r>
              <w:rPr>
                <w:b w:val="0"/>
                <w:sz w:val="19"/>
              </w:rPr>
              <w:t>IND</w:t>
            </w:r>
          </w:p>
        </w:tc>
        <w:tc>
          <w:tcPr>
            <w:tcW w:type="dxa" w:w="6946"/>
          </w:tcPr>
          <w:p>
            <w:pPr>
              <w:spacing w:after="0"/>
            </w:pPr>
            <w:r>
              <w:rPr>
                <w:b w:val="0"/>
                <w:sz w:val="19"/>
              </w:rPr>
              <w:t>Investigational New Drug application under 21 CFR 312.</w:t>
            </w:r>
          </w:p>
        </w:tc>
      </w:tr>
      <w:tr>
        <w:trPr>
          <w:cantSplit w:val="true"/>
        </w:trPr>
        <w:tc>
          <w:tcPr>
            <w:tcW w:type="dxa" w:w="2701"/>
          </w:tcPr>
          <w:p>
            <w:pPr>
              <w:spacing w:after="0"/>
            </w:pPr>
            <w:r>
              <w:rPr>
                <w:b w:val="0"/>
                <w:sz w:val="19"/>
              </w:rPr>
              <w:t>IDE</w:t>
            </w:r>
          </w:p>
        </w:tc>
        <w:tc>
          <w:tcPr>
            <w:tcW w:type="dxa" w:w="6946"/>
          </w:tcPr>
          <w:p>
            <w:pPr>
              <w:spacing w:after="0"/>
            </w:pPr>
            <w:r>
              <w:rPr>
                <w:b w:val="0"/>
                <w:sz w:val="19"/>
              </w:rPr>
              <w:t>Investigational Device Exemption under 21 CFR 812.</w:t>
            </w:r>
          </w:p>
        </w:tc>
      </w:tr>
      <w:tr>
        <w:trPr>
          <w:cantSplit w:val="true"/>
        </w:trPr>
        <w:tc>
          <w:tcPr>
            <w:tcW w:type="dxa" w:w="2701"/>
          </w:tcPr>
          <w:p>
            <w:pPr>
              <w:spacing w:after="0"/>
            </w:pPr>
            <w:r>
              <w:rPr>
                <w:b w:val="0"/>
                <w:sz w:val="19"/>
              </w:rPr>
              <w:t>Significant risk (SR) device</w:t>
            </w:r>
          </w:p>
        </w:tc>
        <w:tc>
          <w:tcPr>
            <w:tcW w:type="dxa" w:w="6946"/>
          </w:tcPr>
          <w:p>
            <w:pPr>
              <w:spacing w:after="0"/>
            </w:pPr>
            <w:r>
              <w:rPr>
                <w:b w:val="0"/>
                <w:sz w:val="19"/>
              </w:rPr>
              <w:t>An investigational device that is an implant, is used to support or sustain life, is of substantial importance in diagnosing, curing, mitigating or treating disease or preventing impairment of health, or otherwise presents a potential for serious risk to the health, safety or welfare of a participant (21 CFR 812.3(m)).</w:t>
            </w:r>
          </w:p>
        </w:tc>
      </w:tr>
      <w:tr>
        <w:trPr>
          <w:cantSplit w:val="true"/>
        </w:trPr>
        <w:tc>
          <w:tcPr>
            <w:tcW w:type="dxa" w:w="2701"/>
          </w:tcPr>
          <w:p>
            <w:pPr>
              <w:spacing w:after="0"/>
            </w:pPr>
            <w:r>
              <w:rPr>
                <w:b w:val="0"/>
                <w:sz w:val="19"/>
              </w:rPr>
              <w:t>Nonsignificant risk (NSR) device study</w:t>
            </w:r>
          </w:p>
        </w:tc>
        <w:tc>
          <w:tcPr>
            <w:tcW w:type="dxa" w:w="6946"/>
          </w:tcPr>
          <w:p>
            <w:pPr>
              <w:spacing w:after="0"/>
            </w:pPr>
            <w:r>
              <w:rPr>
                <w:b w:val="0"/>
                <w:sz w:val="19"/>
              </w:rPr>
              <w:t>A device study that does not meet the SR definition. If the IRB agrees and the abbreviated requirements are met, it is considered to have an approved IDE without an FDA submission (21 CFR 812.2(b)).</w:t>
            </w:r>
          </w:p>
        </w:tc>
      </w:tr>
      <w:tr>
        <w:trPr>
          <w:cantSplit w:val="true"/>
        </w:trPr>
        <w:tc>
          <w:tcPr>
            <w:tcW w:type="dxa" w:w="2701"/>
          </w:tcPr>
          <w:p>
            <w:pPr>
              <w:spacing w:after="0"/>
            </w:pPr>
            <w:r>
              <w:rPr>
                <w:b w:val="0"/>
                <w:sz w:val="19"/>
              </w:rPr>
              <w:t>IND safety report</w:t>
            </w:r>
          </w:p>
        </w:tc>
        <w:tc>
          <w:tcPr>
            <w:tcW w:type="dxa" w:w="6946"/>
          </w:tcPr>
          <w:p>
            <w:pPr>
              <w:spacing w:after="0"/>
            </w:pPr>
            <w:r>
              <w:rPr>
                <w:b w:val="0"/>
                <w:sz w:val="19"/>
              </w:rPr>
              <w:t>The sponsor's expedited report to FDA and all participating investigators of potential serious risks (21 CFR 312.32(c)).</w:t>
            </w:r>
          </w:p>
        </w:tc>
      </w:tr>
      <w:tr>
        <w:trPr>
          <w:cantSplit w:val="true"/>
        </w:trPr>
        <w:tc>
          <w:tcPr>
            <w:tcW w:type="dxa" w:w="2701"/>
          </w:tcPr>
          <w:p>
            <w:pPr>
              <w:spacing w:after="0"/>
            </w:pPr>
            <w:r>
              <w:rPr>
                <w:b w:val="0"/>
                <w:sz w:val="19"/>
              </w:rPr>
              <w:t>Applicable clinical trial (ACT)</w:t>
            </w:r>
          </w:p>
        </w:tc>
        <w:tc>
          <w:tcPr>
            <w:tcW w:type="dxa" w:w="6946"/>
          </w:tcPr>
          <w:p>
            <w:pPr>
              <w:spacing w:after="0"/>
            </w:pPr>
            <w:r>
              <w:rPr>
                <w:b w:val="0"/>
                <w:sz w:val="19"/>
              </w:rPr>
              <w:t>A trial that must be registered and report results on ClinicalTrials.gov under 42 CFR 11.22.</w:t>
            </w:r>
          </w:p>
        </w:tc>
      </w:tr>
      <w:tr>
        <w:trPr>
          <w:cantSplit w:val="true"/>
        </w:trPr>
        <w:tc>
          <w:tcPr>
            <w:tcW w:type="dxa" w:w="2701"/>
          </w:tcPr>
          <w:p>
            <w:pPr>
              <w:spacing w:after="0"/>
            </w:pPr>
            <w:r>
              <w:rPr>
                <w:b w:val="0"/>
                <w:sz w:val="19"/>
              </w:rPr>
              <w:t>Responsible party</w:t>
            </w:r>
          </w:p>
        </w:tc>
        <w:tc>
          <w:tcPr>
            <w:tcW w:type="dxa" w:w="6946"/>
          </w:tcPr>
          <w:p>
            <w:pPr>
              <w:spacing w:after="0"/>
            </w:pPr>
            <w:r>
              <w:rPr>
                <w:b w:val="0"/>
                <w:sz w:val="19"/>
              </w:rPr>
              <w:t>The person responsible for ClinicalTrials.gov registration and results. The sponsor is the responsible party unless a principal investigator is designated. For an IIT, this is the sponsor-investigator (42 CFR 11.4(c)).</w:t>
            </w:r>
          </w:p>
        </w:tc>
      </w:tr>
    </w:tbl>
    <w:p>
      <w:pPr>
        <w:spacing w:after="40"/>
      </w:pPr>
    </w:p>
    <w:p>
      <w:pPr>
        <w:pStyle w:val="Heading1"/>
      </w:pPr>
      <w:r>
        <w:t>5. Procedure</w:t>
      </w:r>
    </w:p>
    <w:p>
      <w:pPr>
        <w:pStyle w:val="Heading2"/>
      </w:pPr>
      <w:r>
        <w:t>5.1 Before agreeing to sponsor</w:t>
      </w:r>
    </w:p>
    <w:p>
      <w:pPr>
        <w:tabs>
          <w:tab w:pos="648" w:val="left"/>
        </w:tabs>
        <w:ind w:left="648" w:hanging="648"/>
      </w:pPr>
      <w:r>
        <w:rPr>
          <w:b/>
        </w:rPr>
        <w:t>5.1.1</w:t>
        <w:tab/>
      </w:r>
      <w:r>
        <w:rPr>
          <w:b w:val="0"/>
        </w:rPr>
        <w:t>The PI presents the proposed IIT to the Site Director and Quality Lead with: the draft protocol, the product and its source, funding, the expected regulatory pathway (IND, IDE, exempt), and the sponsor tasks the PI plans to perform or contract out.</w:t>
      </w:r>
    </w:p>
    <w:p>
      <w:pPr>
        <w:tabs>
          <w:tab w:pos="648" w:val="left"/>
        </w:tabs>
        <w:ind w:left="648" w:hanging="648"/>
      </w:pPr>
      <w:r>
        <w:rPr>
          <w:b/>
        </w:rPr>
        <w:t>5.1.2</w:t>
        <w:tab/>
      </w:r>
      <w:r>
        <w:rPr>
          <w:b w:val="0"/>
        </w:rPr>
        <w:t>The Site Director decides whether the site has the resources to meet sponsor obligations for the study's full duration and record retention period, including:</w:t>
      </w:r>
    </w:p>
    <w:p>
      <w:pPr>
        <w:pStyle w:val="ListBullet"/>
        <w:spacing w:after="40"/>
        <w:ind w:left="1008" w:hanging="259"/>
      </w:pPr>
      <w:r>
        <w:rPr>
          <w:b w:val="0"/>
        </w:rPr>
        <w:t>protocol and consent development, statistical design and data management</w:t>
      </w:r>
    </w:p>
    <w:p>
      <w:pPr>
        <w:pStyle w:val="ListBullet"/>
        <w:spacing w:after="40"/>
        <w:ind w:left="1008" w:hanging="259"/>
      </w:pPr>
      <w:r>
        <w:rPr>
          <w:b w:val="0"/>
        </w:rPr>
        <w:t>monitoring by a qualified person outside the study team (site practice; see 5.5.3)</w:t>
      </w:r>
    </w:p>
    <w:p>
      <w:pPr>
        <w:pStyle w:val="ListBullet"/>
        <w:spacing w:after="40"/>
        <w:ind w:left="1008" w:hanging="259"/>
      </w:pPr>
      <w:r>
        <w:rPr>
          <w:b w:val="0"/>
        </w:rPr>
        <w:t>safety assessment and expedited reporting to FDA</w:t>
      </w:r>
    </w:p>
    <w:p>
      <w:pPr>
        <w:pStyle w:val="ListBullet"/>
        <w:spacing w:after="40"/>
        <w:ind w:left="1008" w:hanging="259"/>
      </w:pPr>
      <w:r>
        <w:rPr>
          <w:b w:val="0"/>
        </w:rPr>
        <w:t>regulatory submissions and annual reporting</w:t>
      </w:r>
    </w:p>
    <w:p>
      <w:pPr>
        <w:pStyle w:val="ListBullet"/>
        <w:spacing w:after="40"/>
        <w:ind w:left="1008" w:hanging="259"/>
      </w:pPr>
      <w:r>
        <w:rPr>
          <w:b w:val="0"/>
        </w:rPr>
        <w:t>product supply, labeling, storage and accountability</w:t>
      </w:r>
    </w:p>
    <w:p>
      <w:pPr>
        <w:pStyle w:val="ListBullet"/>
        <w:spacing w:after="40"/>
        <w:ind w:left="1008" w:hanging="259"/>
      </w:pPr>
      <w:r>
        <w:rPr>
          <w:b w:val="0"/>
        </w:rPr>
        <w:t>insurance for sponsor liability, and participant injury coverage</w:t>
      </w:r>
    </w:p>
    <w:p>
      <w:pPr>
        <w:pStyle w:val="ListBullet"/>
        <w:spacing w:after="40"/>
        <w:ind w:left="1008" w:hanging="259"/>
      </w:pPr>
      <w:r>
        <w:rPr>
          <w:b w:val="0"/>
        </w:rPr>
        <w:t>ClinicalTrials.gov registration and results reporting</w:t>
      </w:r>
    </w:p>
    <w:p>
      <w:pPr>
        <w:tabs>
          <w:tab w:pos="648" w:val="left"/>
        </w:tabs>
        <w:ind w:left="648" w:hanging="648"/>
      </w:pPr>
      <w:r>
        <w:rPr>
          <w:b/>
        </w:rPr>
        <w:t>5.1.3</w:t>
        <w:tab/>
      </w:r>
      <w:r>
        <w:rPr>
          <w:b w:val="0"/>
        </w:rPr>
        <w:t>The Finance / Contracts Lead negotiates any agreement with the company supplying product or funding. The agreement should state who holds the IND or IDE, whether the company provides a letter of authorization to cross-reference its IND, IDE or master file, product supply and return terms, safety information exchange, publication rights and data ownership.</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before any IND or IDE submission for a study that will run at more than one member site, the PI, the Site Director and the Network Executive record who will hold the IND or IDE (Appendix B, SOP-800 rows). If the PI holds it, the PI is the sponsor-investigator and this SOP applies as written. If the network entity holds it, the network entity is the sponsor (a sponsor-investigator must be an individual), it carries every sponsor duty in this SOP, and it is the ClinicalTrials.gov responsible party; the PIs at member sites are investigators only. The Network Office may perform sponsor tasks for a sponsor-investigator as a service provider under SOP-105, and for drug studies may take on sponsor obligations by written transfer (21 CFR 312.52); any obligation not transferred in writing stays with the sponsor. The Network Office never takes on the sponsor-investigator's investigator duties at the PI's own site.</w:t>
            </w:r>
          </w:p>
        </w:tc>
      </w:tr>
    </w:tbl>
    <w:p>
      <w:pPr>
        <w:spacing w:after="0"/>
      </w:pPr>
    </w:p>
    <w:p>
      <w:pPr>
        <w:pStyle w:val="Heading2"/>
      </w:pPr>
      <w:r>
        <w:t>5.2 Drug and biologic studies: does the study need an IND?</w:t>
      </w:r>
    </w:p>
    <w:p>
      <w:pPr>
        <w:tabs>
          <w:tab w:pos="648" w:val="left"/>
        </w:tabs>
        <w:ind w:left="648" w:hanging="648"/>
      </w:pPr>
      <w:r>
        <w:rPr>
          <w:b/>
        </w:rPr>
        <w:t>5.2.1</w:t>
        <w:tab/>
      </w:r>
      <w:r>
        <w:rPr>
          <w:b w:val="0"/>
        </w:rPr>
        <w:t>The PI, with the regulatory consultant if engaged, assesses whether the investigation is exempt from the IND requirements under 21 CFR 312.2(b) and records the assessment in the sponsor regulatory file. A study of a lawfully marketed drug is exempt only if all of the following apply:</w:t>
      </w:r>
    </w:p>
    <w:p>
      <w:pPr>
        <w:pStyle w:val="ListBullet"/>
        <w:spacing w:after="40"/>
        <w:ind w:left="1008" w:hanging="259"/>
      </w:pPr>
      <w:r>
        <w:rPr>
          <w:b w:val="0"/>
        </w:rPr>
        <w:t>it is not intended to be reported to FDA as a well-controlled study supporting a new indication or any other significant labeling change</w:t>
      </w:r>
    </w:p>
    <w:p>
      <w:pPr>
        <w:pStyle w:val="ListBullet"/>
        <w:spacing w:after="40"/>
        <w:ind w:left="1008" w:hanging="259"/>
      </w:pPr>
      <w:r>
        <w:rPr>
          <w:b w:val="0"/>
        </w:rPr>
        <w:t>for a prescription drug, it is not intended to support a significant change in advertising</w:t>
      </w:r>
    </w:p>
    <w:p>
      <w:pPr>
        <w:pStyle w:val="ListBullet"/>
        <w:spacing w:after="40"/>
        <w:ind w:left="1008" w:hanging="259"/>
      </w:pPr>
      <w:r>
        <w:rPr>
          <w:b w:val="0"/>
        </w:rPr>
        <w:t>it does not involve a route of administration, dose, patient population or other factor that significantly increases the risks (or decreases the acceptability of the risks)</w:t>
      </w:r>
    </w:p>
    <w:p>
      <w:pPr>
        <w:pStyle w:val="ListBullet"/>
        <w:spacing w:after="40"/>
        <w:ind w:left="1008" w:hanging="259"/>
      </w:pPr>
      <w:r>
        <w:rPr>
          <w:b w:val="0"/>
        </w:rPr>
        <w:t>it is conducted in compliance with IRB review (21 CFR 56) and informed consent (21 CFR 50) requirements</w:t>
      </w:r>
    </w:p>
    <w:p>
      <w:pPr>
        <w:pStyle w:val="ListBullet"/>
        <w:spacing w:after="40"/>
        <w:ind w:left="1008" w:hanging="259"/>
      </w:pPr>
      <w:r>
        <w:rPr>
          <w:b w:val="0"/>
        </w:rPr>
        <w:t>it complies with 21 CFR 312.7 (no promotion or commercialization of the investigational drug)</w:t>
      </w:r>
    </w:p>
    <w:p>
      <w:pPr>
        <w:tabs>
          <w:tab w:pos="648" w:val="left"/>
        </w:tabs>
        <w:ind w:left="648" w:hanging="648"/>
      </w:pPr>
      <w:r>
        <w:rPr>
          <w:b/>
        </w:rPr>
        <w:t>5.2.2</w:t>
        <w:tab/>
      </w:r>
      <w:r>
        <w:rPr>
          <w:b w:val="0"/>
        </w:rPr>
        <w:t>Studies of unapproved drugs, and studies using an exception from informed consent under 21 CFR 50.24, are not exempt.</w:t>
      </w:r>
    </w:p>
    <w:p>
      <w:pPr>
        <w:tabs>
          <w:tab w:pos="648" w:val="left"/>
        </w:tabs>
        <w:ind w:left="648" w:hanging="648"/>
      </w:pPr>
      <w:r>
        <w:rPr>
          <w:b/>
        </w:rPr>
        <w:t>5.2.3</w:t>
        <w:tab/>
      </w:r>
      <w:r>
        <w:rPr>
          <w:b w:val="0"/>
        </w:rPr>
        <w:t>Many IRBs also review the exemption determination; the PI follows the IRB's process. If the PI or IRB is uncertain, the PI asks FDA for advice (21 CFR 312.2(e)) and keeps FDA's response. FDA's guidance Investigational New Drug Applications (INDs): Determining Whether Human Research Studies Can Be Conducted Without an IND explains the criteria.</w:t>
      </w:r>
    </w:p>
    <w:p>
      <w:pPr>
        <w:pStyle w:val="Heading2"/>
      </w:pPr>
      <w:r>
        <w:t>5.3 Device studies: risk determination and IDE pathway</w:t>
      </w:r>
    </w:p>
    <w:p>
      <w:pPr>
        <w:tabs>
          <w:tab w:pos="648" w:val="left"/>
        </w:tabs>
        <w:ind w:left="648" w:hanging="648"/>
      </w:pPr>
      <w:r>
        <w:rPr>
          <w:b/>
        </w:rPr>
        <w:t>5.3.1</w:t>
        <w:tab/>
      </w:r>
      <w:r>
        <w:rPr>
          <w:b w:val="0"/>
        </w:rPr>
        <w:t>The PI determines whether the device study is exempt under 21 CFR 812.2(c) (for example, certain studies of legally marketed devices used per their labeling) and records the basis.</w:t>
      </w:r>
    </w:p>
    <w:p>
      <w:pPr>
        <w:tabs>
          <w:tab w:pos="648" w:val="left"/>
        </w:tabs>
        <w:ind w:left="648" w:hanging="648"/>
      </w:pPr>
      <w:r>
        <w:rPr>
          <w:b/>
        </w:rPr>
        <w:t>5.3.2</w:t>
        <w:tab/>
      </w:r>
      <w:r>
        <w:rPr>
          <w:b w:val="0"/>
        </w:rPr>
        <w:t>If not exempt, the PI proposes an SR or NSR determination with a written rationale using 21 CFR 812.3(m) and FDA's information sheet guidance Significant Risk and Nonsignificant Risk Medical Device Studies.</w:t>
      </w:r>
    </w:p>
    <w:p>
      <w:pPr>
        <w:tabs>
          <w:tab w:pos="648" w:val="left"/>
        </w:tabs>
        <w:ind w:left="648" w:hanging="648"/>
      </w:pPr>
      <w:r>
        <w:rPr>
          <w:b/>
        </w:rPr>
        <w:t>5.3.3</w:t>
        <w:tab/>
      </w:r>
      <w:r>
        <w:rPr>
          <w:b w:val="0"/>
        </w:rPr>
        <w:t>For a proposed NSR study, the PI presents the rationale to the IRB. The IRB makes the SR or NSR determination. FDA's determination is final if FDA is consulted. If the IRB determines the study is SR after the PI proposed NSR, the PI must report the IRB's determination to FDA within 5 working days (21 CFR 812.150(b)(9)).</w:t>
      </w:r>
    </w:p>
    <w:p>
      <w:pPr>
        <w:tabs>
          <w:tab w:pos="648" w:val="left"/>
        </w:tabs>
        <w:ind w:left="648" w:hanging="648"/>
      </w:pPr>
      <w:r>
        <w:rPr>
          <w:b/>
        </w:rPr>
        <w:t>5.3.4</w:t>
        <w:tab/>
      </w:r>
      <w:r>
        <w:rPr>
          <w:b w:val="0"/>
        </w:rPr>
        <w:t>An NSR study approved by the IRB follows the abbreviated requirements of 21 CFR 812.2(b), including:</w:t>
      </w:r>
    </w:p>
    <w:p>
      <w:pPr>
        <w:pStyle w:val="ListBullet"/>
        <w:spacing w:after="40"/>
        <w:ind w:left="1008" w:hanging="259"/>
      </w:pPr>
      <w:r>
        <w:rPr>
          <w:b w:val="0"/>
        </w:rPr>
        <w:t>device labeling under 21 CFR 812.5</w:t>
      </w:r>
    </w:p>
    <w:p>
      <w:pPr>
        <w:pStyle w:val="ListBullet"/>
        <w:spacing w:after="40"/>
        <w:ind w:left="1008" w:hanging="259"/>
      </w:pPr>
      <w:r>
        <w:rPr>
          <w:b w:val="0"/>
        </w:rPr>
        <w:t>IRB approval after presenting the NSR rationale, maintained throughout</w:t>
      </w:r>
    </w:p>
    <w:p>
      <w:pPr>
        <w:pStyle w:val="ListBullet"/>
        <w:spacing w:after="40"/>
        <w:ind w:left="1008" w:hanging="259"/>
      </w:pPr>
      <w:r>
        <w:rPr>
          <w:b w:val="0"/>
        </w:rPr>
        <w:t>informed consent under 21 CFR 50</w:t>
      </w:r>
    </w:p>
    <w:p>
      <w:pPr>
        <w:pStyle w:val="ListBullet"/>
        <w:spacing w:after="40"/>
        <w:ind w:left="1008" w:hanging="259"/>
      </w:pPr>
      <w:r>
        <w:rPr>
          <w:b w:val="0"/>
        </w:rPr>
        <w:t>monitoring under 21 CFR 812.46</w:t>
      </w:r>
    </w:p>
    <w:p>
      <w:pPr>
        <w:pStyle w:val="ListBullet"/>
        <w:spacing w:after="40"/>
        <w:ind w:left="1008" w:hanging="259"/>
      </w:pPr>
      <w:r>
        <w:rPr>
          <w:b w:val="0"/>
        </w:rPr>
        <w:t>sponsor records under 21 CFR 812.140(b)(4) and (5), and sponsor reports under 21 CFR 812.150(b)(1) to (3) and (5) to (10)</w:t>
      </w:r>
    </w:p>
    <w:p>
      <w:pPr>
        <w:pStyle w:val="ListBullet"/>
        <w:spacing w:after="40"/>
        <w:ind w:left="1008" w:hanging="259"/>
      </w:pPr>
      <w:r>
        <w:rPr>
          <w:b w:val="0"/>
        </w:rPr>
        <w:t>investigator records under 21 CFR 812.140(a)(3)(i) and investigator reports under 21 CFR 812.150(a)(1), (2), (5) and (7)</w:t>
      </w:r>
    </w:p>
    <w:p>
      <w:pPr>
        <w:pStyle w:val="ListBullet"/>
        <w:spacing w:after="40"/>
        <w:ind w:left="1008" w:hanging="259"/>
      </w:pPr>
      <w:r>
        <w:rPr>
          <w:b w:val="0"/>
        </w:rPr>
        <w:t>the prohibitions on promotion and other practices in 21 CFR 812.7</w:t>
      </w:r>
    </w:p>
    <w:p>
      <w:pPr>
        <w:tabs>
          <w:tab w:pos="648" w:val="left"/>
        </w:tabs>
        <w:ind w:left="648" w:hanging="648"/>
      </w:pPr>
      <w:r>
        <w:rPr>
          <w:b/>
        </w:rPr>
        <w:t>5.3.5</w:t>
        <w:tab/>
      </w:r>
      <w:r>
        <w:rPr>
          <w:b w:val="0"/>
        </w:rPr>
        <w:t>An SR study needs an IDE application submitted to FDA (21 CFR 812.20). The study may not begin until FDA approves the IDE and the IRB approves the study (21 CFR 812.42). The PI considers an FDA Pre-Submission (Q-Submission) for study risk determination or protocol advice before submitting.</w:t>
      </w:r>
    </w:p>
    <w:p>
      <w:pPr>
        <w:pStyle w:val="Heading2"/>
      </w:pPr>
      <w:r>
        <w:t>5.4 IND or IDE submission</w:t>
      </w:r>
    </w:p>
    <w:p>
      <w:pPr>
        <w:tabs>
          <w:tab w:pos="648" w:val="left"/>
        </w:tabs>
        <w:ind w:left="648" w:hanging="648"/>
      </w:pPr>
      <w:r>
        <w:rPr>
          <w:b/>
        </w:rPr>
        <w:t>5.4.1</w:t>
        <w:tab/>
      </w:r>
      <w:r>
        <w:rPr>
          <w:b w:val="0"/>
        </w:rPr>
        <w:t>The regulatory consultant or Regulatory Coordinator prepares the submission with the PI, using FDA's current forms and electronic submission requirements. For an IND this includes Form FDA 1571, the protocol, investigator information (Form FDA 1572 for each investigator, including the sponsor-investigator), investigator's brochure or equivalent product information, chemistry, manufacturing and controls information or a letter of authorization to cross-reference the manufacturer's file, pharmacology and toxicology information or cross-reference, previous human experience, and Form FDA 3674 (ClinicalTrials.gov certification). FDA's draft guidance IND Applications Prepared and Submitted by Sponsor-Investigators describes the content.</w:t>
      </w:r>
    </w:p>
    <w:p>
      <w:pPr>
        <w:tabs>
          <w:tab w:pos="648" w:val="left"/>
        </w:tabs>
        <w:ind w:left="648" w:hanging="648"/>
      </w:pPr>
      <w:r>
        <w:rPr>
          <w:b/>
        </w:rPr>
        <w:t>5.4.2</w:t>
        <w:tab/>
      </w:r>
      <w:r>
        <w:rPr>
          <w:b w:val="0"/>
        </w:rPr>
        <w:t>The PI signs the submission as sponsor.</w:t>
      </w:r>
    </w:p>
    <w:p>
      <w:pPr>
        <w:tabs>
          <w:tab w:pos="648" w:val="left"/>
        </w:tabs>
        <w:ind w:left="648" w:hanging="648"/>
      </w:pPr>
      <w:r>
        <w:rPr>
          <w:b/>
        </w:rPr>
        <w:t>5.4.3</w:t>
        <w:tab/>
      </w:r>
      <w:r>
        <w:rPr>
          <w:b/>
        </w:rPr>
        <w:t>IND waiting period.</w:t>
      </w:r>
      <w:r>
        <w:rPr>
          <w:b w:val="0"/>
        </w:rPr>
        <w:t xml:space="preserve"> An IND goes into effect 30 days after FDA receives it, unless FDA places the study on clinical hold, or earlier if FDA notifies the sponsor that the study may begin (21 CFR 312.40(b)). The PI must not administer the investigational drug to participants until the IND is in effect (21 CFR 312.40(d)). The PI also needs IRB approval before starting.</w:t>
      </w:r>
    </w:p>
    <w:p>
      <w:pPr>
        <w:tabs>
          <w:tab w:pos="648" w:val="left"/>
        </w:tabs>
        <w:ind w:left="648" w:hanging="648"/>
      </w:pPr>
      <w:r>
        <w:rPr>
          <w:b/>
        </w:rPr>
        <w:t>5.4.4</w:t>
        <w:tab/>
      </w:r>
      <w:r>
        <w:rPr>
          <w:b w:val="0"/>
        </w:rPr>
        <w:t>The Regulatory Coordinator files FDA's acknowledgment letter (with the IND or IDE number and receipt date), any FDA comments and the IRB approval in the sponsor regulatory file, and records the date the IND went into effect or the IDE was approved. This date drives annual reporting.</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a sponsor-investigator study at several member sites is cooperative research. Where the study is federally funded and subject to the Common Rule, US sites must use a single IRB (45 CFR 46.114(b)), and each member site entity engaged in the research signs the reliance agreement (SOP-203). For FDA-regulated studies without federal funding, a single IRB is not yet required (FDA's proposed rule is not final), but the sponsor may use one through joint review or reliance (21 CFR 56.114), and the Network Regulatory Lead should arrange one IRB of record for all member sites where the IRBs and sites agree. N-Affiliated: each member site entity relies separately; the Network Office signs for a member site only where the network agreement authorizes it and the IRB accepts it.</w:t>
            </w:r>
          </w:p>
        </w:tc>
      </w:tr>
    </w:tbl>
    <w:p>
      <w:pPr>
        <w:spacing w:after="0"/>
      </w:pPr>
    </w:p>
    <w:p>
      <w:pPr>
        <w:pStyle w:val="Heading2"/>
      </w:pPr>
      <w:r>
        <w:t>5.5 Sponsor duties during the study</w:t>
      </w:r>
    </w:p>
    <w:p>
      <w:pPr>
        <w:tabs>
          <w:tab w:pos="648" w:val="left"/>
        </w:tabs>
        <w:ind w:left="648" w:hanging="648"/>
      </w:pPr>
      <w:r>
        <w:rPr>
          <w:b/>
        </w:rPr>
        <w:t>5.5.1</w:t>
        <w:tab/>
      </w:r>
      <w:r>
        <w:rPr>
          <w:b w:val="0"/>
        </w:rPr>
        <w:t>For IND studies, the sponsor-investigator meets the sponsor obligations in 21 CFR 312.50 to 312.59, including:</w:t>
      </w:r>
    </w:p>
    <w:p>
      <w:pPr>
        <w:pStyle w:val="ListBullet"/>
        <w:spacing w:after="40"/>
        <w:ind w:left="1008" w:hanging="259"/>
      </w:pPr>
      <w:r>
        <w:rPr>
          <w:b w:val="0"/>
        </w:rPr>
        <w:t>selecting qualified investigators and obtaining a signed Form FDA 1572, CV and financial disclosure information from each (21 CFR 312.53). Investigators must commit to update financial information during the study and for 1 year after completion (21 CFR 312.53(c)(4)).</w:t>
      </w:r>
    </w:p>
    <w:p>
      <w:pPr>
        <w:pStyle w:val="ListBullet"/>
        <w:spacing w:after="40"/>
        <w:ind w:left="1008" w:hanging="259"/>
      </w:pPr>
      <w:r>
        <w:rPr>
          <w:b w:val="0"/>
        </w:rPr>
        <w:t>informing investigators of new observations, particularly adverse effects and safe use (21 CFR 312.55)</w:t>
      </w:r>
    </w:p>
    <w:p>
      <w:pPr>
        <w:pStyle w:val="ListBullet"/>
        <w:spacing w:after="40"/>
        <w:ind w:left="1008" w:hanging="259"/>
      </w:pPr>
      <w:r>
        <w:rPr>
          <w:b w:val="0"/>
        </w:rPr>
        <w:t>monitoring the progress of the investigation, securing compliance or ending an investigator's participation and notifying FDA if compliance cannot be secured (21 CFR 312.56)</w:t>
      </w:r>
    </w:p>
    <w:p>
      <w:pPr>
        <w:pStyle w:val="ListBullet"/>
        <w:spacing w:after="40"/>
        <w:ind w:left="1008" w:hanging="259"/>
      </w:pPr>
      <w:r>
        <w:rPr>
          <w:b w:val="0"/>
        </w:rPr>
        <w:t>keeping sponsor records of drug receipt, shipment and disposition and of investigator financial interests (21 CFR 312.57)</w:t>
      </w:r>
    </w:p>
    <w:p>
      <w:pPr>
        <w:pStyle w:val="ListBullet"/>
        <w:spacing w:after="40"/>
        <w:ind w:left="1008" w:hanging="259"/>
      </w:pPr>
      <w:r>
        <w:rPr>
          <w:b w:val="0"/>
        </w:rPr>
        <w:t>permitting FDA inspection of sponsor records (21 CFR 312.58)</w:t>
      </w:r>
    </w:p>
    <w:p>
      <w:pPr>
        <w:pStyle w:val="ListBullet"/>
        <w:spacing w:after="40"/>
        <w:ind w:left="1008" w:hanging="259"/>
      </w:pPr>
      <w:r>
        <w:rPr>
          <w:b w:val="0"/>
        </w:rPr>
        <w:t>ensuring return or authorized disposition of unused drug (21 CFR 312.59)</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PI at each participating member site is an investigator selected by the sponsor under 5.5.1 or 5.5.2 and signs a 1572 or investigator agreement to the sponsor; IND safety reports and new observations go to the investigators at every participating member site. N-Integrated: where one legal entity holds all participating sites, an internal study agreement or protocol sign-off is enough unless the funder requires more. N-Affiliated: the sponsor's entity and each participating member site entity sign a written agreement before the site enrolls. It covers the protocol, investigator duties, data and specimen transfer to the sponsor (under the participants' HIPAA authorization, or another HIPAA basis such as a data use agreement for a limited data set), payments at fair market value with no payment for referrals (SOP-201), subject injury, insurance, publication and record retention.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r>
    </w:tbl>
    <w:p>
      <w:pPr>
        <w:spacing w:after="0"/>
      </w:pPr>
    </w:p>
    <w:p>
      <w:pPr>
        <w:tabs>
          <w:tab w:pos="648" w:val="left"/>
        </w:tabs>
        <w:ind w:left="648" w:hanging="648"/>
      </w:pPr>
      <w:r>
        <w:rPr>
          <w:b/>
        </w:rPr>
        <w:t>5.5.2</w:t>
        <w:tab/>
      </w:r>
      <w:r>
        <w:rPr>
          <w:b w:val="0"/>
        </w:rPr>
        <w:t>For IDE studies, the sponsor-investigator meets the sponsor obligations in 21 CFR 812.40 to 812.47, including selecting investigators and obtaining signed agreements and financial disclosure information (21 CFR 812.43), monitoring (21 CFR 812.46), and controlling device distribution.</w:t>
      </w:r>
    </w:p>
    <w:p>
      <w:pPr>
        <w:tabs>
          <w:tab w:pos="648" w:val="left"/>
        </w:tabs>
        <w:ind w:left="648" w:hanging="648"/>
      </w:pPr>
      <w:r>
        <w:rPr>
          <w:b/>
        </w:rPr>
        <w:t>5.5.3</w:t>
        <w:tab/>
      </w:r>
      <w:r>
        <w:rPr>
          <w:b/>
        </w:rPr>
        <w:t>Monitoring.</w:t>
      </w:r>
      <w:r>
        <w:rPr>
          <w:b w:val="0"/>
        </w:rPr>
        <w:t xml:space="preserve"> The PI arranges monitoring under a written, risk-based monitoring plan (21 CFR 312.50; 21 CFR 812.46; FDA guidance Oversight of Clinical Investigations: A Risk-Based Approach to Monitoring; ICH E6(R3) Annex 1, 3.11.4). The monitor's reports go to the PI and are filed in the sponsor file. The regulations require the sponsor to monitor but do not require the monitor to be independent; using a monitor who is not on the study team (as in 5.1.2) is site practice, because a sponsor-investigator cannot objectively monitor their own work.</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monitoring plan covers every participating member site, including the sponsor-investigator's own site, which is monitored by someone outside the sponsor-investigator's study team. Network QA audits under SOP-903 Network Oversight of Member Sites (Metrics, Central QA, Escalation) do not replace sponsor monitoring unless the monitoring plan assigns that work to a named person who is independent of the site being monitored. N-Affiliated: the monitor's access to another entity's source records is allowed by the participants' consent and authorization and by the agreement with that member site.</w:t>
            </w:r>
          </w:p>
        </w:tc>
      </w:tr>
    </w:tbl>
    <w:p>
      <w:pPr>
        <w:spacing w:after="0"/>
      </w:pPr>
    </w:p>
    <w:p>
      <w:pPr>
        <w:tabs>
          <w:tab w:pos="648" w:val="left"/>
        </w:tabs>
        <w:ind w:left="648" w:hanging="648"/>
      </w:pPr>
      <w:r>
        <w:rPr>
          <w:b/>
        </w:rPr>
        <w:t>5.5.4</w:t>
        <w:tab/>
      </w:r>
      <w:r>
        <w:rPr>
          <w:b/>
        </w:rPr>
        <w:t>Quality management.</w:t>
      </w:r>
      <w:r>
        <w:rPr>
          <w:b w:val="0"/>
        </w:rPr>
        <w:t xml:space="preserve"> The PI applies ICH E6(R3) Annex 1, section 3 in proportion to the study's risks, including protocol design, data management and computerized system validation (ICH E6(R3) Annex 1, section 4), statistical analysis and a final study report.</w:t>
      </w:r>
    </w:p>
    <w:p>
      <w:pPr>
        <w:tabs>
          <w:tab w:pos="648" w:val="left"/>
        </w:tabs>
        <w:ind w:left="648" w:hanging="648"/>
      </w:pPr>
      <w:r>
        <w:rPr>
          <w:b/>
        </w:rPr>
        <w:t>5.5.5</w:t>
        <w:tab/>
      </w:r>
      <w:r>
        <w:rPr>
          <w:b/>
        </w:rPr>
        <w:t>Product.</w:t>
      </w:r>
      <w:r>
        <w:rPr>
          <w:b w:val="0"/>
        </w:rPr>
        <w:t xml:space="preserve"> The PI arranges product manufacture or supply, labeling (21 CFR 312.6 for drugs, including the statement "Caution: New Drug - Limited by Federal (or United States) law to investigational use"; 21 CFR 812.5 for devices), storage and accountability under SOP-304 Investigational Product Management.</w:t>
      </w:r>
    </w:p>
    <w:p>
      <w:pPr>
        <w:tabs>
          <w:tab w:pos="648" w:val="left"/>
        </w:tabs>
        <w:ind w:left="648" w:hanging="648"/>
      </w:pPr>
      <w:r>
        <w:rPr>
          <w:b/>
        </w:rPr>
        <w:t>5.5.6</w:t>
        <w:tab/>
      </w:r>
      <w:r>
        <w:rPr>
          <w:b/>
        </w:rPr>
        <w:t>Financial disclosure.</w:t>
      </w:r>
      <w:r>
        <w:rPr>
          <w:b w:val="0"/>
        </w:rPr>
        <w:t xml:space="preserve"> 21 CFR 54 requires certification or disclosure of investigator financial interests from the applicant when study data are submitted in a marketing application. A sponsor-investigator who is not a marketing applicant still collects financial interest information from each investigator under 21 CFR 312.53(c)(4) or 21 CFR 812.43(c)(5), so that complete information is available if the data are later used in an application. The site's own conflict of interest process also applies (SOP-104 Conflict of Interest and Financial Disclosure).</w:t>
      </w:r>
    </w:p>
    <w:p>
      <w:pPr>
        <w:pStyle w:val="Heading2"/>
      </w:pPr>
      <w:r>
        <w:t>5.6 Safety reporting by the sponsor-investigator</w:t>
      </w:r>
    </w:p>
    <w:p>
      <w:pPr>
        <w:tabs>
          <w:tab w:pos="648" w:val="left"/>
        </w:tabs>
        <w:ind w:left="648" w:hanging="648"/>
      </w:pPr>
      <w:r>
        <w:rPr>
          <w:b/>
        </w:rPr>
        <w:t>5.6.1</w:t>
        <w:tab/>
      </w:r>
      <w:r>
        <w:rPr>
          <w:b w:val="0"/>
        </w:rPr>
        <w:t>The investigator duties in SOP-500 Adverse Event Identification, Assessment and Recording and SOP-501 Serious Adverse Event and Expedited Safety Reporting still apply. In addition, as sponsor, the PI reviews all safety information promptly (21 CFR 312.32(b)).</w:t>
      </w:r>
    </w:p>
    <w:p>
      <w:pPr>
        <w:tabs>
          <w:tab w:pos="648" w:val="left"/>
        </w:tabs>
        <w:ind w:left="648" w:hanging="648"/>
      </w:pPr>
      <w:r>
        <w:rPr>
          <w:b/>
        </w:rPr>
        <w:t>5.6.2</w:t>
        <w:tab/>
      </w:r>
      <w:r>
        <w:rPr>
          <w:b/>
        </w:rPr>
        <w:t>IND safety reports (21 CFR 312.32(c)).</w:t>
      </w:r>
      <w:r>
        <w:rPr>
          <w:b w:val="0"/>
        </w:rPr>
        <w:t xml:space="preserve"> The PI notifies FDA and all participating investigators in an IND safety report of potential serious risks as soon as possible and no later than 15 calendar days after determining that the information qualifies for reporting, including:</w:t>
      </w:r>
    </w:p>
    <w:p>
      <w:pPr>
        <w:pStyle w:val="ListBullet"/>
        <w:spacing w:after="40"/>
        <w:ind w:left="1008" w:hanging="259"/>
      </w:pPr>
      <w:r>
        <w:rPr>
          <w:b w:val="0"/>
        </w:rPr>
        <w:t>serious and unexpected suspected adverse reactions</w:t>
      </w:r>
    </w:p>
    <w:p>
      <w:pPr>
        <w:pStyle w:val="ListBullet"/>
        <w:spacing w:after="40"/>
        <w:ind w:left="1008" w:hanging="259"/>
      </w:pPr>
      <w:r>
        <w:rPr>
          <w:b w:val="0"/>
        </w:rPr>
        <w:t>findings from other studies, animal or in vitro testing that suggest a significant risk to humans</w:t>
      </w:r>
    </w:p>
    <w:p>
      <w:pPr>
        <w:pStyle w:val="ListBullet"/>
        <w:spacing w:after="40"/>
        <w:ind w:left="1008" w:hanging="259"/>
      </w:pPr>
      <w:r>
        <w:rPr>
          <w:b w:val="0"/>
        </w:rPr>
        <w:t>a clinically important increase in the rate of serious suspected adverse reactions over that listed in the protocol or investigator's brochure</w:t>
      </w:r>
    </w:p>
    <w:p>
      <w:pPr>
        <w:tabs>
          <w:tab w:pos="648" w:val="left"/>
        </w:tabs>
        <w:ind w:left="648" w:hanging="648"/>
      </w:pPr>
      <w:r>
        <w:rPr>
          <w:b/>
        </w:rPr>
        <w:t>5.6.3</w:t>
        <w:tab/>
      </w:r>
      <w:r>
        <w:rPr>
          <w:b w:val="0"/>
        </w:rPr>
        <w:t>Unexpected fatal or life-threatening suspected adverse reactions are reported to FDA no later than 7 calendar days after the sponsor's initial receipt of the information (21 CFR 312.32(c)(2)).</w:t>
      </w:r>
    </w:p>
    <w:p>
      <w:pPr>
        <w:tabs>
          <w:tab w:pos="648" w:val="left"/>
        </w:tabs>
        <w:ind w:left="648" w:hanging="648"/>
      </w:pPr>
      <w:r>
        <w:rPr>
          <w:b/>
        </w:rPr>
        <w:t>5.6.4</w:t>
        <w:tab/>
      </w:r>
      <w:r>
        <w:rPr>
          <w:b w:val="0"/>
        </w:rPr>
        <w:t>Because the sponsor-investigator is also the investigator who assesses causality, the PI should have a second qualified physician (for example, a medical monitor contracted through the CRO) review serious events for expectedness and reportability. FDA's final guidance Sponsor Responsibilities: Safety Reporting Requirements and Safety Assessment for IND and Bioavailability/Bioequivalence Studies (December 2025) explains the sponsor's criteria for assessing and reporting safety information. As investigator, the PI also submits each IND safety report to the reviewing IRB (21 CFR 312.66; FDA guidance Investigator Responsibilities: Safety Reporting for Investigational Drugs and Devices, December 2025), following the IRB's procedures for format and timing (SOP-502).</w:t>
      </w:r>
    </w:p>
    <w:p>
      <w:pPr>
        <w:tabs>
          <w:tab w:pos="648" w:val="left"/>
        </w:tabs>
        <w:ind w:left="648" w:hanging="648"/>
      </w:pPr>
      <w:r>
        <w:rPr>
          <w:b/>
        </w:rPr>
        <w:t>5.6.5</w:t>
        <w:tab/>
      </w:r>
      <w:r>
        <w:rPr>
          <w:b/>
        </w:rPr>
        <w:t>Device studies.</w:t>
      </w:r>
      <w:r>
        <w:rPr>
          <w:b w:val="0"/>
        </w:rPr>
        <w:t xml:space="preserve"> The sponsor-investigator evaluates any unanticipated adverse device effect and reports the results to FDA, all reviewing IRBs and participating investigators within 10 working days after first receiving notice of the effect (21 CFR 812.46(b); 21 CFR 812.150(b)(1)). This applies to NSR studies as well as SR studies (21 CFR 812.2(b)(1)(v)). Other sponsor reports under 21 CFR 812.150(b) include withdrawal of IRB approval (5 working days), current investigator list (every 6 months, SR studies), progress reports at least yearly and a final report.</w:t>
      </w:r>
    </w:p>
    <w:p>
      <w:pPr>
        <w:tabs>
          <w:tab w:pos="648" w:val="left"/>
        </w:tabs>
        <w:ind w:left="648" w:hanging="648"/>
      </w:pPr>
      <w:r>
        <w:rPr>
          <w:b/>
        </w:rPr>
        <w:t>5.6.6</w:t>
        <w:tab/>
      </w:r>
      <w:r>
        <w:rPr>
          <w:b w:val="0"/>
        </w:rPr>
        <w:t>The Regulatory Coordinator logs each safety report and its due date on F-501-01 SAE Reporting Tracker, with a column for FDA submissions.</w:t>
      </w:r>
    </w:p>
    <w:p>
      <w:pPr>
        <w:pStyle w:val="Heading2"/>
      </w:pPr>
      <w:r>
        <w:t>5.7 Amendments and annual reports (IND)</w:t>
      </w:r>
    </w:p>
    <w:p>
      <w:pPr>
        <w:tabs>
          <w:tab w:pos="648" w:val="left"/>
        </w:tabs>
        <w:ind w:left="648" w:hanging="648"/>
      </w:pPr>
      <w:r>
        <w:rPr>
          <w:b/>
        </w:rPr>
        <w:t>5.7.1</w:t>
        <w:tab/>
      </w:r>
      <w:r>
        <w:rPr>
          <w:b/>
        </w:rPr>
        <w:t>Protocol amendments (21 CFR 312.30).</w:t>
      </w:r>
    </w:p>
    <w:p>
      <w:pPr>
        <w:pStyle w:val="ListBullet"/>
        <w:spacing w:after="40"/>
        <w:ind w:left="1008" w:hanging="259"/>
      </w:pPr>
      <w:r>
        <w:rPr>
          <w:b/>
        </w:rPr>
        <w:t>New protocol:</w:t>
      </w:r>
      <w:r>
        <w:rPr>
          <w:b w:val="0"/>
        </w:rPr>
        <w:t xml:space="preserve"> submit to FDA. The study may begin once the protocol has been submitted to FDA and approved by the IRB.</w:t>
      </w:r>
    </w:p>
    <w:p>
      <w:pPr>
        <w:pStyle w:val="ListBullet"/>
        <w:spacing w:after="40"/>
        <w:ind w:left="1008" w:hanging="259"/>
      </w:pPr>
      <w:r>
        <w:rPr>
          <w:b/>
        </w:rPr>
        <w:t>Change in protocol:</w:t>
      </w:r>
      <w:r>
        <w:rPr>
          <w:b w:val="0"/>
        </w:rPr>
        <w:t xml:space="preserve"> submit any change that significantly affects participant safety (Phase 1), or safety, scope or scientific quality (Phase 2 and 3), and implement only after submission to FDA and IRB approval, except a change to eliminate an apparent immediate hazard, which may be implemented at once with FDA and IRB notification afterward.</w:t>
      </w:r>
    </w:p>
    <w:p>
      <w:pPr>
        <w:pStyle w:val="ListBullet"/>
        <w:spacing w:after="40"/>
        <w:ind w:left="1008" w:hanging="259"/>
      </w:pPr>
      <w:r>
        <w:rPr>
          <w:b/>
        </w:rPr>
        <w:t>New investigator:</w:t>
      </w:r>
      <w:r>
        <w:rPr>
          <w:b w:val="0"/>
        </w:rPr>
        <w:t xml:space="preserve"> notify FDA within 30 days of the investigator being added.</w:t>
      </w:r>
    </w:p>
    <w:p>
      <w:pPr>
        <w:tabs>
          <w:tab w:pos="648" w:val="left"/>
        </w:tabs>
        <w:ind w:left="648" w:hanging="648"/>
      </w:pPr>
      <w:r>
        <w:rPr>
          <w:b/>
        </w:rPr>
        <w:t>5.7.2</w:t>
        <w:tab/>
      </w:r>
      <w:r>
        <w:rPr>
          <w:b/>
        </w:rPr>
        <w:t>Information amendments (21 CFR 312.31).</w:t>
      </w:r>
      <w:r>
        <w:rPr>
          <w:b w:val="0"/>
        </w:rPr>
        <w:t xml:space="preserve"> Submit important information not covered by a protocol amendment, annual report or IND safety report (for example, new toxicology, chemistry or other technical information, or a report on discontinuation of a clinical investigation).</w:t>
      </w:r>
    </w:p>
    <w:p>
      <w:pPr>
        <w:tabs>
          <w:tab w:pos="648" w:val="left"/>
        </w:tabs>
        <w:ind w:left="648" w:hanging="648"/>
      </w:pPr>
      <w:r>
        <w:rPr>
          <w:b/>
        </w:rPr>
        <w:t>5.7.3</w:t>
        <w:tab/>
      </w:r>
      <w:r>
        <w:rPr>
          <w:b/>
        </w:rPr>
        <w:t>Annual reports (21 CFR 312.33).</w:t>
      </w:r>
      <w:r>
        <w:rPr>
          <w:b w:val="0"/>
        </w:rPr>
        <w:t xml:space="preserve"> Submit a brief progress report within 60 days of each anniversary of the date the IND went into effect, including individual study status and enrollment, a summary of safety information, IND safety reports, deaths and dropouts for adverse experiences, the general investigational plan for the coming year and any investigator's brochure changes.</w:t>
      </w:r>
    </w:p>
    <w:p>
      <w:pPr>
        <w:tabs>
          <w:tab w:pos="648" w:val="left"/>
        </w:tabs>
        <w:ind w:left="648" w:hanging="648"/>
      </w:pPr>
      <w:r>
        <w:rPr>
          <w:b/>
        </w:rPr>
        <w:t>5.7.4</w:t>
        <w:tab/>
      </w:r>
      <w:r>
        <w:rPr>
          <w:b/>
        </w:rPr>
        <w:t>Device supplements and reports.</w:t>
      </w:r>
      <w:r>
        <w:rPr>
          <w:b w:val="0"/>
        </w:rPr>
        <w:t xml:space="preserve"> Changes to an SR device investigation follow 21 CFR 812.35. Progress reports go to the IRB at least yearly (and to FDA for SR studies), and a final report goes to the IRB (and FDA and participating investigators for SR studies) within 6 months after completion or termination. For SR studies, the sponsor also notifies FDA within 30 working days of completion or termination (21 CFR 812.150(b)(5) and (7)).</w:t>
      </w:r>
    </w:p>
    <w:p>
      <w:pPr>
        <w:tabs>
          <w:tab w:pos="648" w:val="left"/>
        </w:tabs>
        <w:ind w:left="648" w:hanging="648"/>
      </w:pPr>
      <w:r>
        <w:rPr>
          <w:b/>
        </w:rPr>
        <w:t>5.7.5</w:t>
        <w:tab/>
      </w:r>
      <w:r>
        <w:rPr>
          <w:b w:val="0"/>
        </w:rPr>
        <w:t>The Quality Lead adds all sponsor deadlines to a tracked calendar and checks them monthly.</w:t>
      </w:r>
    </w:p>
    <w:p>
      <w:pPr>
        <w:pStyle w:val="Heading2"/>
      </w:pPr>
      <w:r>
        <w:t>5.8 ClinicalTrials.gov</w:t>
      </w:r>
    </w:p>
    <w:p>
      <w:pPr>
        <w:tabs>
          <w:tab w:pos="648" w:val="left"/>
        </w:tabs>
        <w:ind w:left="648" w:hanging="648"/>
      </w:pPr>
      <w:r>
        <w:rPr>
          <w:b/>
        </w:rPr>
        <w:t>5.8.1</w:t>
        <w:tab/>
      </w:r>
      <w:r>
        <w:rPr>
          <w:b w:val="0"/>
        </w:rPr>
        <w:t>The PI determines whether the study is an applicable clinical trial under 42 CFR 11.22 (in general, a controlled interventional study, other than Phase 1, of an FDA-regulated drug or biologic, or an interventional study, other than a small feasibility study, of an FDA-regulated device, with a US site or under an IND or IDE). The determination is recorded in the sponsor file.</w:t>
      </w:r>
    </w:p>
    <w:p>
      <w:pPr>
        <w:tabs>
          <w:tab w:pos="648" w:val="left"/>
        </w:tabs>
        <w:ind w:left="648" w:hanging="648"/>
      </w:pPr>
      <w:r>
        <w:rPr>
          <w:b/>
        </w:rPr>
        <w:t>5.8.2</w:t>
        <w:tab/>
      </w:r>
      <w:r>
        <w:rPr>
          <w:b w:val="0"/>
        </w:rPr>
        <w:t>For an ACT, the sponsor-investigator, as responsible party:</w:t>
      </w:r>
    </w:p>
    <w:p>
      <w:pPr>
        <w:pStyle w:val="ListBullet"/>
        <w:spacing w:after="40"/>
        <w:ind w:left="1008" w:hanging="259"/>
      </w:pPr>
      <w:r>
        <w:rPr>
          <w:b w:val="0"/>
        </w:rPr>
        <w:t>registers the trial no later than 21 calendar days after the first participant is enrolled (42 CFR 11.24)</w:t>
      </w:r>
    </w:p>
    <w:p>
      <w:pPr>
        <w:pStyle w:val="ListBullet"/>
        <w:spacing w:after="40"/>
        <w:ind w:left="1008" w:hanging="259"/>
      </w:pPr>
      <w:r>
        <w:rPr>
          <w:b w:val="0"/>
        </w:rPr>
        <w:t>updates the record as required, at least once every 12 months, and within the shorter timeframes required for specific changes such as recruitment status (42 CFR 11.64)</w:t>
      </w:r>
    </w:p>
    <w:p>
      <w:pPr>
        <w:pStyle w:val="ListBullet"/>
        <w:spacing w:after="40"/>
        <w:ind w:left="1008" w:hanging="259"/>
      </w:pPr>
      <w:r>
        <w:rPr>
          <w:b w:val="0"/>
        </w:rPr>
        <w:t>submits results no later than 1 year after the primary completion date, unless a delay is allowed (42 CFR 11.44)</w:t>
      </w:r>
    </w:p>
    <w:p>
      <w:pPr>
        <w:tabs>
          <w:tab w:pos="648" w:val="left"/>
        </w:tabs>
        <w:ind w:left="648" w:hanging="648"/>
      </w:pPr>
      <w:r>
        <w:rPr>
          <w:b/>
        </w:rPr>
        <w:t>5.8.3</w:t>
        <w:tab/>
      </w:r>
      <w:r>
        <w:rPr>
          <w:b w:val="0"/>
        </w:rPr>
        <w:t>The PI registers before the first participant is enrolled where the study results may be published, because many journals require prospective registration, and where the IRB requires it. Non-ACT IITs may be registered voluntarily.</w:t>
      </w:r>
    </w:p>
    <w:p>
      <w:pPr>
        <w:tabs>
          <w:tab w:pos="648" w:val="left"/>
        </w:tabs>
        <w:ind w:left="648" w:hanging="648"/>
      </w:pPr>
      <w:r>
        <w:rPr>
          <w:b/>
        </w:rPr>
        <w:t>5.8.4</w:t>
        <w:tab/>
      </w:r>
      <w:r>
        <w:rPr>
          <w:b w:val="0"/>
        </w:rPr>
        <w:t>For an ACT, the consent form includes the ClinicalTrials.gov statement exactly as worded in 21 CFR 50.25(c); the NCT number is not part of that statement. The NCT number is included on Medicare claims for qualifying clinical trials (SOP-202 Medicare Coverage Analysis and Research Billing Compliance).</w:t>
      </w:r>
    </w:p>
    <w:p>
      <w:pPr>
        <w:pStyle w:val="Heading2"/>
      </w:pPr>
      <w:r>
        <w:t>5.9 Study completion and IND or IDE closure</w:t>
      </w:r>
    </w:p>
    <w:p>
      <w:pPr>
        <w:tabs>
          <w:tab w:pos="648" w:val="left"/>
        </w:tabs>
        <w:ind w:left="648" w:hanging="648"/>
      </w:pPr>
      <w:r>
        <w:rPr>
          <w:b/>
        </w:rPr>
        <w:t>5.9.1</w:t>
        <w:tab/>
      </w:r>
      <w:r>
        <w:rPr>
          <w:b w:val="0"/>
        </w:rPr>
        <w:t>At study completion, the PI completes investigator closeout under SOP-601 Study Closeout and the sponsor steps:</w:t>
      </w:r>
    </w:p>
    <w:p>
      <w:pPr>
        <w:pStyle w:val="ListBullet"/>
        <w:spacing w:after="40"/>
        <w:ind w:left="1008" w:hanging="259"/>
      </w:pPr>
      <w:r>
        <w:rPr>
          <w:b w:val="0"/>
        </w:rPr>
        <w:t>final reports to the IRB and, as required, FDA</w:t>
      </w:r>
    </w:p>
    <w:p>
      <w:pPr>
        <w:pStyle w:val="ListBullet"/>
        <w:spacing w:after="40"/>
        <w:ind w:left="1008" w:hanging="259"/>
      </w:pPr>
      <w:r>
        <w:rPr>
          <w:b w:val="0"/>
        </w:rPr>
        <w:t>ClinicalTrials.gov results</w:t>
      </w:r>
    </w:p>
    <w:p>
      <w:pPr>
        <w:pStyle w:val="ListBullet"/>
        <w:spacing w:after="40"/>
        <w:ind w:left="1008" w:hanging="259"/>
      </w:pPr>
      <w:r>
        <w:rPr>
          <w:b w:val="0"/>
        </w:rPr>
        <w:t>withdrawal of the IND (21 CFR 312.38) or request for inactive status (21 CFR 312.45) when no further studies are planned, or IDE final report and completion notice</w:t>
      </w:r>
    </w:p>
    <w:p>
      <w:pPr>
        <w:pStyle w:val="ListBullet"/>
        <w:spacing w:after="40"/>
        <w:ind w:left="1008" w:hanging="259"/>
      </w:pPr>
      <w:r>
        <w:rPr>
          <w:b w:val="0"/>
        </w:rPr>
        <w:t>disposition of unused product</w:t>
      </w:r>
    </w:p>
    <w:p>
      <w:pPr>
        <w:tabs>
          <w:tab w:pos="648" w:val="left"/>
        </w:tabs>
        <w:ind w:left="648" w:hanging="648"/>
      </w:pPr>
      <w:r>
        <w:rPr>
          <w:b/>
        </w:rPr>
        <w:t>5.9.2</w:t>
        <w:tab/>
      </w:r>
      <w:r>
        <w:rPr>
          <w:b w:val="0"/>
        </w:rPr>
        <w:t>Sponsor records are kept for 2 years after a marketing application is approved for the drug or, if no application is approved, 2 years after shipment and delivery of the drug for investigational use is discontinued and FDA has been notified (21 CFR 312.57(c)), or for devices as stated in 21 CFR 812.140(d), and longer where state law or agreements require (SOP-402 Record Retention, Archiving and Destruction).</w:t>
      </w:r>
    </w:p>
    <w:p>
      <w:pPr>
        <w:tabs>
          <w:tab w:pos="648" w:val="left"/>
        </w:tabs>
        <w:ind w:left="648" w:hanging="648"/>
      </w:pPr>
      <w:r>
        <w:rPr>
          <w:b/>
        </w:rPr>
        <w:t>5.9.3</w:t>
        <w:tab/>
      </w:r>
      <w:r>
        <w:rPr>
          <w:b w:val="0"/>
        </w:rPr>
        <w:t>FDA inspects sponsor-investigators under Compliance Program 7348.811, with sponsor areas reviewed using Compliance Program 7348.810. SOP-702 FDA Inspections and Remote Regulatory Assessments applies.</w:t>
      </w:r>
    </w:p>
    <w:p>
      <w:pPr>
        <w:pStyle w:val="Heading2"/>
      </w:pPr>
      <w:r>
        <w:t>5.10 Sponsor quality system minimum</w:t>
      </w:r>
    </w:p>
    <w:p>
      <w:pPr>
        <w:tabs>
          <w:tab w:pos="648" w:val="left"/>
        </w:tabs>
        <w:ind w:left="648" w:hanging="648"/>
      </w:pPr>
      <w:r>
        <w:rPr>
          <w:b/>
        </w:rPr>
        <w:t>5.10.1</w:t>
        <w:tab/>
      </w:r>
      <w:r>
        <w:rPr>
          <w:b w:val="0"/>
        </w:rPr>
        <w:t>Before the first participant is enrolled, the sponsor-investigator must have written procedures, specific to the study or general, for each of these sponsor functions (ICH E6(R3) Annex 1, section 3, including 3.9 Sponsor Oversight, 3.10 Quality Management, 3.11 Quality Assurance and Quality Control, 3.13 Safety Assessment and Reporting and 3.16 Data and Records):</w:t>
      </w:r>
    </w:p>
    <w:p>
      <w:pPr>
        <w:pStyle w:val="ListBullet"/>
        <w:spacing w:after="40"/>
        <w:ind w:left="1008" w:hanging="259"/>
      </w:pPr>
      <w:r>
        <w:rPr>
          <w:b w:val="0"/>
        </w:rPr>
        <w:t>monitoring: a written monitoring plan (5.5.3)</w:t>
      </w:r>
    </w:p>
    <w:p>
      <w:pPr>
        <w:pStyle w:val="ListBullet"/>
        <w:spacing w:after="40"/>
        <w:ind w:left="1008" w:hanging="259"/>
      </w:pPr>
      <w:r>
        <w:rPr>
          <w:b w:val="0"/>
        </w:rPr>
        <w:t>data management: a data management plan covering data capture, review, query handling, database lock and computerized systems</w:t>
      </w:r>
    </w:p>
    <w:p>
      <w:pPr>
        <w:pStyle w:val="ListBullet"/>
        <w:spacing w:after="40"/>
        <w:ind w:left="1008" w:hanging="259"/>
      </w:pPr>
      <w:r>
        <w:rPr>
          <w:b w:val="0"/>
        </w:rPr>
        <w:t>safety management: receipt, assessment and expedited reporting of safety information as sponsor (5.6)</w:t>
      </w:r>
    </w:p>
    <w:p>
      <w:pPr>
        <w:pStyle w:val="ListBullet"/>
        <w:spacing w:after="40"/>
        <w:ind w:left="1008" w:hanging="259"/>
      </w:pPr>
      <w:r>
        <w:rPr>
          <w:b w:val="0"/>
        </w:rPr>
        <w:t>trial master file: what sponsor records are kept, where, and for how long (5.9.2)</w:t>
      </w:r>
    </w:p>
    <w:p>
      <w:pPr>
        <w:pStyle w:val="ListBullet"/>
        <w:spacing w:after="40"/>
        <w:ind w:left="1008" w:hanging="259"/>
      </w:pPr>
      <w:r>
        <w:rPr>
          <w:b w:val="0"/>
        </w:rPr>
        <w:t>service provider oversight: selection, agreements and oversight of any CRO, monitor, laboratory or other provider the sponsor-investigator uses for sponsor activities (SOP-105 applied to sponsor functions)</w:t>
      </w:r>
    </w:p>
    <w:p>
      <w:pPr>
        <w:pStyle w:val="ListBullet"/>
        <w:spacing w:after="40"/>
        <w:ind w:left="1008" w:hanging="259"/>
      </w:pPr>
      <w:r>
        <w:rPr>
          <w:b w:val="0"/>
        </w:rPr>
        <w:t>a sponsor SOP set or index that lists these procedures, with version control under SOP-100</w:t>
      </w:r>
    </w:p>
    <w:p>
      <w:pPr>
        <w:tabs>
          <w:tab w:pos="648" w:val="left"/>
        </w:tabs>
        <w:ind w:left="648" w:hanging="648"/>
      </w:pPr>
      <w:r>
        <w:rPr>
          <w:b/>
        </w:rPr>
        <w:t>5.10.2</w:t>
        <w:tab/>
      </w:r>
      <w:r>
        <w:rPr>
          <w:b w:val="0"/>
        </w:rPr>
        <w:t>The site's investigator SOPs do not cover these sponsor functions. The PI records on F-306-01 Note to File, filed in the sponsor file, where each procedure in 5.10.1 is kept.</w:t>
      </w:r>
    </w:p>
    <w:p>
      <w:pPr>
        <w:pStyle w:val="Heading1"/>
      </w:pPr>
      <w:r>
        <w:t>6. Related Forms and SOPs</w:t>
      </w:r>
    </w:p>
    <w:p>
      <w:pPr>
        <w:pStyle w:val="ListBullet"/>
        <w:spacing w:after="40"/>
        <w:ind w:left="360" w:hanging="259"/>
      </w:pPr>
      <w:r>
        <w:rPr>
          <w:b w:val="0"/>
        </w:rPr>
        <w:t>F-200-01 Study Feasibility Assessment</w:t>
      </w:r>
    </w:p>
    <w:p>
      <w:pPr>
        <w:pStyle w:val="ListBullet"/>
        <w:spacing w:after="40"/>
        <w:ind w:left="360" w:hanging="259"/>
      </w:pPr>
      <w:r>
        <w:rPr>
          <w:b w:val="0"/>
        </w:rPr>
        <w:t>F-105-01 Service Provider Qualification and Oversight Record</w:t>
      </w:r>
    </w:p>
    <w:p>
      <w:pPr>
        <w:pStyle w:val="ListBullet"/>
        <w:spacing w:after="40"/>
        <w:ind w:left="360" w:hanging="259"/>
      </w:pPr>
      <w:r>
        <w:rPr>
          <w:b w:val="0"/>
        </w:rPr>
        <w:t>F-306-01 Note to File</w:t>
      </w:r>
    </w:p>
    <w:p>
      <w:pPr>
        <w:pStyle w:val="ListBullet"/>
        <w:spacing w:after="40"/>
        <w:ind w:left="360" w:hanging="259"/>
      </w:pPr>
      <w:r>
        <w:rPr>
          <w:b w:val="0"/>
        </w:rPr>
        <w:t>F-501-01 SAE Reporting Tracker</w:t>
      </w:r>
    </w:p>
    <w:p>
      <w:pPr>
        <w:pStyle w:val="ListBullet"/>
        <w:spacing w:after="40"/>
        <w:ind w:left="360" w:hanging="259"/>
      </w:pPr>
      <w:r>
        <w:rPr>
          <w:b w:val="0"/>
        </w:rPr>
        <w:t>Appendix B Central and Site Responsibility Matrix (Model N only)</w:t>
      </w:r>
    </w:p>
    <w:p>
      <w:pPr>
        <w:pStyle w:val="ListBullet"/>
        <w:spacing w:after="40"/>
        <w:ind w:left="360" w:hanging="259"/>
      </w:pPr>
      <w:r>
        <w:rPr>
          <w:b w:val="0"/>
        </w:rPr>
        <w:t>SOP-100 Writing, Approving and Controlling SOPs</w:t>
      </w:r>
    </w:p>
    <w:p>
      <w:pPr>
        <w:pStyle w:val="ListBullet"/>
        <w:spacing w:after="40"/>
        <w:ind w:left="360" w:hanging="259"/>
      </w:pPr>
      <w:r>
        <w:rPr>
          <w:b w:val="0"/>
        </w:rPr>
        <w:t>SOP-104 Conflict of Interest and Financial Disclosure</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SOP-201 Confidentiality Agreements, Clinical Trial Agreements and Budgets</w:t>
      </w:r>
    </w:p>
    <w:p>
      <w:pPr>
        <w:pStyle w:val="ListBullet"/>
        <w:spacing w:after="40"/>
        <w:ind w:left="360" w:hanging="259"/>
      </w:pPr>
      <w:r>
        <w:rPr>
          <w:b w:val="0"/>
        </w:rPr>
        <w:t>SOP-202 Medicare Coverage Analysis and Research Billing Compliance</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SOP-304 Investigational Product Management</w:t>
      </w:r>
    </w:p>
    <w:p>
      <w:pPr>
        <w:pStyle w:val="ListBullet"/>
        <w:spacing w:after="40"/>
        <w:ind w:left="360" w:hanging="259"/>
      </w:pPr>
      <w:r>
        <w:rPr>
          <w:b w:val="0"/>
        </w:rPr>
        <w:t>SOP-500 Adverse Event Identification, Assessment and Recording</w:t>
      </w:r>
    </w:p>
    <w:p>
      <w:pPr>
        <w:pStyle w:val="ListBullet"/>
        <w:spacing w:after="40"/>
        <w:ind w:left="360" w:hanging="259"/>
      </w:pPr>
      <w:r>
        <w:rPr>
          <w:b w:val="0"/>
        </w:rPr>
        <w:t>SOP-501 Serious Adverse Event and Expedited Safety Reporting</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SOP-601 Study Closeout</w:t>
      </w:r>
    </w:p>
    <w:p>
      <w:pPr>
        <w:pStyle w:val="ListBullet"/>
        <w:spacing w:after="40"/>
        <w:ind w:left="360" w:hanging="259"/>
      </w:pPr>
      <w:r>
        <w:rPr>
          <w:b w:val="0"/>
        </w:rPr>
        <w:t>SOP-402 Record Retention, Archiving and Destruction</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SOP-702 FDA Inspections and Remote Regulatory Assessments</w:t>
      </w:r>
    </w:p>
    <w:p>
      <w:pPr>
        <w:pStyle w:val="ListBullet"/>
        <w:spacing w:after="40"/>
        <w:ind w:left="360" w:hanging="259"/>
      </w:pPr>
      <w:r>
        <w:rPr>
          <w:b w:val="0"/>
        </w:rPr>
        <w:t>SOP-903 Network Oversight of Member Sites (Metrics, Central QA, Escalation)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312.2</w:t>
            </w:r>
          </w:p>
        </w:tc>
        <w:tc>
          <w:tcPr>
            <w:tcW w:type="dxa" w:w="6946"/>
          </w:tcPr>
          <w:p>
            <w:pPr>
              <w:spacing w:after="0"/>
            </w:pPr>
            <w:r>
              <w:rPr>
                <w:b w:val="0"/>
                <w:sz w:val="19"/>
              </w:rPr>
              <w:t>Applicability (IND exemptions)</w:t>
            </w:r>
          </w:p>
        </w:tc>
      </w:tr>
      <w:tr>
        <w:trPr>
          <w:cantSplit w:val="true"/>
        </w:trPr>
        <w:tc>
          <w:tcPr>
            <w:tcW w:type="dxa" w:w="2701"/>
          </w:tcPr>
          <w:p>
            <w:pPr>
              <w:spacing w:after="0"/>
            </w:pPr>
            <w:r>
              <w:rPr>
                <w:b w:val="0"/>
                <w:sz w:val="19"/>
              </w:rPr>
              <w:t>21 CFR 312.3</w:t>
            </w:r>
          </w:p>
        </w:tc>
        <w:tc>
          <w:tcPr>
            <w:tcW w:type="dxa" w:w="6946"/>
          </w:tcPr>
          <w:p>
            <w:pPr>
              <w:spacing w:after="0"/>
            </w:pPr>
            <w:r>
              <w:rPr>
                <w:b w:val="0"/>
                <w:sz w:val="19"/>
              </w:rPr>
              <w:t>Definitions (sponsor-investigator)</w:t>
            </w:r>
          </w:p>
        </w:tc>
      </w:tr>
      <w:tr>
        <w:trPr>
          <w:cantSplit w:val="true"/>
        </w:trPr>
        <w:tc>
          <w:tcPr>
            <w:tcW w:type="dxa" w:w="2701"/>
          </w:tcPr>
          <w:p>
            <w:pPr>
              <w:spacing w:after="0"/>
            </w:pPr>
            <w:r>
              <w:rPr>
                <w:b w:val="0"/>
                <w:sz w:val="19"/>
              </w:rPr>
              <w:t>21 CFR 312.6</w:t>
            </w:r>
          </w:p>
        </w:tc>
        <w:tc>
          <w:tcPr>
            <w:tcW w:type="dxa" w:w="6946"/>
          </w:tcPr>
          <w:p>
            <w:pPr>
              <w:spacing w:after="0"/>
            </w:pPr>
            <w:r>
              <w:rPr>
                <w:b w:val="0"/>
                <w:sz w:val="19"/>
              </w:rPr>
              <w:t>Labeling of an investigational new drug</w:t>
            </w:r>
          </w:p>
        </w:tc>
      </w:tr>
      <w:tr>
        <w:trPr>
          <w:cantSplit w:val="true"/>
        </w:trPr>
        <w:tc>
          <w:tcPr>
            <w:tcW w:type="dxa" w:w="2701"/>
          </w:tcPr>
          <w:p>
            <w:pPr>
              <w:spacing w:after="0"/>
            </w:pPr>
            <w:r>
              <w:rPr>
                <w:b w:val="0"/>
                <w:sz w:val="19"/>
              </w:rPr>
              <w:t>21 CFR 312.7</w:t>
            </w:r>
          </w:p>
        </w:tc>
        <w:tc>
          <w:tcPr>
            <w:tcW w:type="dxa" w:w="6946"/>
          </w:tcPr>
          <w:p>
            <w:pPr>
              <w:spacing w:after="0"/>
            </w:pPr>
            <w:r>
              <w:rPr>
                <w:b w:val="0"/>
                <w:sz w:val="19"/>
              </w:rPr>
              <w:t>Promotion of investigational drugs</w:t>
            </w:r>
          </w:p>
        </w:tc>
      </w:tr>
      <w:tr>
        <w:trPr>
          <w:cantSplit w:val="true"/>
        </w:trPr>
        <w:tc>
          <w:tcPr>
            <w:tcW w:type="dxa" w:w="2701"/>
          </w:tcPr>
          <w:p>
            <w:pPr>
              <w:spacing w:after="0"/>
            </w:pPr>
            <w:r>
              <w:rPr>
                <w:b w:val="0"/>
                <w:sz w:val="19"/>
              </w:rPr>
              <w:t>21 CFR 312.30, 312.31, 312.33</w:t>
            </w:r>
          </w:p>
        </w:tc>
        <w:tc>
          <w:tcPr>
            <w:tcW w:type="dxa" w:w="6946"/>
          </w:tcPr>
          <w:p>
            <w:pPr>
              <w:spacing w:after="0"/>
            </w:pPr>
            <w:r>
              <w:rPr>
                <w:b w:val="0"/>
                <w:sz w:val="19"/>
              </w:rPr>
              <w:t>Protocol amendments; Information amendments; Annual reports</w:t>
            </w:r>
          </w:p>
        </w:tc>
      </w:tr>
      <w:tr>
        <w:trPr>
          <w:cantSplit w:val="true"/>
        </w:trPr>
        <w:tc>
          <w:tcPr>
            <w:tcW w:type="dxa" w:w="2701"/>
          </w:tcPr>
          <w:p>
            <w:pPr>
              <w:spacing w:after="0"/>
            </w:pPr>
            <w:r>
              <w:rPr>
                <w:b w:val="0"/>
                <w:sz w:val="19"/>
              </w:rPr>
              <w:t>21 CFR 312.32</w:t>
            </w:r>
          </w:p>
        </w:tc>
        <w:tc>
          <w:tcPr>
            <w:tcW w:type="dxa" w:w="6946"/>
          </w:tcPr>
          <w:p>
            <w:pPr>
              <w:spacing w:after="0"/>
            </w:pPr>
            <w:r>
              <w:rPr>
                <w:b w:val="0"/>
                <w:sz w:val="19"/>
              </w:rPr>
              <w:t>IND safety reporting</w:t>
            </w:r>
          </w:p>
        </w:tc>
      </w:tr>
      <w:tr>
        <w:trPr>
          <w:cantSplit w:val="true"/>
        </w:trPr>
        <w:tc>
          <w:tcPr>
            <w:tcW w:type="dxa" w:w="2701"/>
          </w:tcPr>
          <w:p>
            <w:pPr>
              <w:spacing w:after="0"/>
            </w:pPr>
            <w:r>
              <w:rPr>
                <w:b w:val="0"/>
                <w:sz w:val="19"/>
              </w:rPr>
              <w:t>21 CFR 312.66</w:t>
            </w:r>
          </w:p>
        </w:tc>
        <w:tc>
          <w:tcPr>
            <w:tcW w:type="dxa" w:w="6946"/>
          </w:tcPr>
          <w:p>
            <w:pPr>
              <w:spacing w:after="0"/>
            </w:pPr>
            <w:r>
              <w:rPr>
                <w:b w:val="0"/>
                <w:sz w:val="19"/>
              </w:rPr>
              <w:t>Assurance of IRB Review</w:t>
            </w:r>
          </w:p>
        </w:tc>
      </w:tr>
      <w:tr>
        <w:trPr>
          <w:cantSplit w:val="true"/>
        </w:trPr>
        <w:tc>
          <w:tcPr>
            <w:tcW w:type="dxa" w:w="2701"/>
          </w:tcPr>
          <w:p>
            <w:pPr>
              <w:spacing w:after="0"/>
            </w:pPr>
            <w:r>
              <w:rPr>
                <w:b w:val="0"/>
                <w:sz w:val="19"/>
              </w:rPr>
              <w:t>21 CFR 312.38, 312.45</w:t>
            </w:r>
          </w:p>
        </w:tc>
        <w:tc>
          <w:tcPr>
            <w:tcW w:type="dxa" w:w="6946"/>
          </w:tcPr>
          <w:p>
            <w:pPr>
              <w:spacing w:after="0"/>
            </w:pPr>
            <w:r>
              <w:rPr>
                <w:b w:val="0"/>
                <w:sz w:val="19"/>
              </w:rPr>
              <w:t>Withdrawal of an IND; Inactive status</w:t>
            </w:r>
          </w:p>
        </w:tc>
      </w:tr>
      <w:tr>
        <w:trPr>
          <w:cantSplit w:val="true"/>
        </w:trPr>
        <w:tc>
          <w:tcPr>
            <w:tcW w:type="dxa" w:w="2701"/>
          </w:tcPr>
          <w:p>
            <w:pPr>
              <w:spacing w:after="0"/>
            </w:pPr>
            <w:r>
              <w:rPr>
                <w:b w:val="0"/>
                <w:sz w:val="19"/>
              </w:rPr>
              <w:t>21 CFR 312.40, 312.42</w:t>
            </w:r>
          </w:p>
        </w:tc>
        <w:tc>
          <w:tcPr>
            <w:tcW w:type="dxa" w:w="6946"/>
          </w:tcPr>
          <w:p>
            <w:pPr>
              <w:spacing w:after="0"/>
            </w:pPr>
            <w:r>
              <w:rPr>
                <w:b w:val="0"/>
                <w:sz w:val="19"/>
              </w:rPr>
              <w:t>General requirements for use of an investigational new drug; Clinical holds</w:t>
            </w:r>
          </w:p>
        </w:tc>
      </w:tr>
      <w:tr>
        <w:trPr>
          <w:cantSplit w:val="true"/>
        </w:trPr>
        <w:tc>
          <w:tcPr>
            <w:tcW w:type="dxa" w:w="2701"/>
          </w:tcPr>
          <w:p>
            <w:pPr>
              <w:spacing w:after="0"/>
            </w:pPr>
            <w:r>
              <w:rPr>
                <w:b w:val="0"/>
                <w:sz w:val="19"/>
              </w:rPr>
              <w:t>21 CFR 312.50 to 312.59</w:t>
            </w:r>
          </w:p>
        </w:tc>
        <w:tc>
          <w:tcPr>
            <w:tcW w:type="dxa" w:w="6946"/>
          </w:tcPr>
          <w:p>
            <w:pPr>
              <w:spacing w:after="0"/>
            </w:pPr>
            <w:r>
              <w:rPr>
                <w:b w:val="0"/>
                <w:sz w:val="19"/>
              </w:rPr>
              <w:t>Responsibilities of sponsors</w:t>
            </w:r>
          </w:p>
        </w:tc>
      </w:tr>
      <w:tr>
        <w:trPr>
          <w:cantSplit w:val="true"/>
        </w:trPr>
        <w:tc>
          <w:tcPr>
            <w:tcW w:type="dxa" w:w="2701"/>
          </w:tcPr>
          <w:p>
            <w:pPr>
              <w:spacing w:after="0"/>
            </w:pPr>
            <w:r>
              <w:rPr>
                <w:b w:val="0"/>
                <w:sz w:val="19"/>
              </w:rPr>
              <w:t>21 CFR 312.52</w:t>
            </w:r>
          </w:p>
        </w:tc>
        <w:tc>
          <w:tcPr>
            <w:tcW w:type="dxa" w:w="6946"/>
          </w:tcPr>
          <w:p>
            <w:pPr>
              <w:spacing w:after="0"/>
            </w:pPr>
            <w:r>
              <w:rPr>
                <w:b w:val="0"/>
                <w:sz w:val="19"/>
              </w:rPr>
              <w:t>Transfer of obligations to a contract research organization</w:t>
            </w:r>
          </w:p>
        </w:tc>
      </w:tr>
      <w:tr>
        <w:trPr>
          <w:cantSplit w:val="true"/>
        </w:trPr>
        <w:tc>
          <w:tcPr>
            <w:tcW w:type="dxa" w:w="2701"/>
          </w:tcPr>
          <w:p>
            <w:pPr>
              <w:spacing w:after="0"/>
            </w:pPr>
            <w:r>
              <w:rPr>
                <w:b w:val="0"/>
                <w:sz w:val="19"/>
              </w:rPr>
              <w:t>21 CFR 812.2, 812.3</w:t>
            </w:r>
          </w:p>
        </w:tc>
        <w:tc>
          <w:tcPr>
            <w:tcW w:type="dxa" w:w="6946"/>
          </w:tcPr>
          <w:p>
            <w:pPr>
              <w:spacing w:after="0"/>
            </w:pPr>
            <w:r>
              <w:rPr>
                <w:b w:val="0"/>
                <w:sz w:val="19"/>
              </w:rPr>
              <w:t>Applicability; Definitions (devices)</w:t>
            </w:r>
          </w:p>
        </w:tc>
      </w:tr>
      <w:tr>
        <w:trPr>
          <w:cantSplit w:val="true"/>
        </w:trPr>
        <w:tc>
          <w:tcPr>
            <w:tcW w:type="dxa" w:w="2701"/>
          </w:tcPr>
          <w:p>
            <w:pPr>
              <w:spacing w:after="0"/>
            </w:pPr>
            <w:r>
              <w:rPr>
                <w:b w:val="0"/>
                <w:sz w:val="19"/>
              </w:rPr>
              <w:t>21 CFR 812.20, 812.30, 812.35, 812.42</w:t>
            </w:r>
          </w:p>
        </w:tc>
        <w:tc>
          <w:tcPr>
            <w:tcW w:type="dxa" w:w="6946"/>
          </w:tcPr>
          <w:p>
            <w:pPr>
              <w:spacing w:after="0"/>
            </w:pPr>
            <w:r>
              <w:rPr>
                <w:b w:val="0"/>
                <w:sz w:val="19"/>
              </w:rPr>
              <w:t>IDE application; FDA action; Supplemental applications; FDA and IRB approval</w:t>
            </w:r>
          </w:p>
        </w:tc>
      </w:tr>
      <w:tr>
        <w:trPr>
          <w:cantSplit w:val="true"/>
        </w:trPr>
        <w:tc>
          <w:tcPr>
            <w:tcW w:type="dxa" w:w="2701"/>
          </w:tcPr>
          <w:p>
            <w:pPr>
              <w:spacing w:after="0"/>
            </w:pPr>
            <w:r>
              <w:rPr>
                <w:b w:val="0"/>
                <w:sz w:val="19"/>
              </w:rPr>
              <w:t>21 CFR 812.40 to 812.47</w:t>
            </w:r>
          </w:p>
        </w:tc>
        <w:tc>
          <w:tcPr>
            <w:tcW w:type="dxa" w:w="6946"/>
          </w:tcPr>
          <w:p>
            <w:pPr>
              <w:spacing w:after="0"/>
            </w:pPr>
            <w:r>
              <w:rPr>
                <w:b w:val="0"/>
                <w:sz w:val="19"/>
              </w:rPr>
              <w:t>Responsibilities of sponsors (devices)</w:t>
            </w:r>
          </w:p>
        </w:tc>
      </w:tr>
      <w:tr>
        <w:trPr>
          <w:cantSplit w:val="true"/>
        </w:trPr>
        <w:tc>
          <w:tcPr>
            <w:tcW w:type="dxa" w:w="2701"/>
          </w:tcPr>
          <w:p>
            <w:pPr>
              <w:spacing w:after="0"/>
            </w:pPr>
            <w:r>
              <w:rPr>
                <w:b w:val="0"/>
                <w:sz w:val="19"/>
              </w:rPr>
              <w:t>21 CFR 812.140, 812.150</w:t>
            </w:r>
          </w:p>
        </w:tc>
        <w:tc>
          <w:tcPr>
            <w:tcW w:type="dxa" w:w="6946"/>
          </w:tcPr>
          <w:p>
            <w:pPr>
              <w:spacing w:after="0"/>
            </w:pPr>
            <w:r>
              <w:rPr>
                <w:b w:val="0"/>
                <w:sz w:val="19"/>
              </w:rPr>
              <w:t>Records; Reports (devices)</w:t>
            </w:r>
          </w:p>
        </w:tc>
      </w:tr>
      <w:tr>
        <w:trPr>
          <w:cantSplit w:val="true"/>
        </w:trPr>
        <w:tc>
          <w:tcPr>
            <w:tcW w:type="dxa" w:w="2701"/>
          </w:tcPr>
          <w:p>
            <w:pPr>
              <w:spacing w:after="0"/>
            </w:pPr>
            <w:r>
              <w:rPr>
                <w:b w:val="0"/>
                <w:sz w:val="19"/>
              </w:rPr>
              <w:t>21 CFR 50, 56</w:t>
            </w:r>
          </w:p>
        </w:tc>
        <w:tc>
          <w:tcPr>
            <w:tcW w:type="dxa" w:w="6946"/>
          </w:tcPr>
          <w:p>
            <w:pPr>
              <w:spacing w:after="0"/>
            </w:pPr>
            <w:r>
              <w:rPr>
                <w:b w:val="0"/>
                <w:sz w:val="19"/>
              </w:rPr>
              <w:t>Protection of Human Subjects; Institutional Review Boards</w:t>
            </w:r>
          </w:p>
        </w:tc>
      </w:tr>
      <w:tr>
        <w:trPr>
          <w:cantSplit w:val="true"/>
        </w:trPr>
        <w:tc>
          <w:tcPr>
            <w:tcW w:type="dxa" w:w="2701"/>
          </w:tcPr>
          <w:p>
            <w:pPr>
              <w:spacing w:after="0"/>
            </w:pPr>
            <w:r>
              <w:rPr>
                <w:b w:val="0"/>
                <w:sz w:val="19"/>
              </w:rPr>
              <w:t>21 CFR 56.114</w:t>
            </w:r>
          </w:p>
        </w:tc>
        <w:tc>
          <w:tcPr>
            <w:tcW w:type="dxa" w:w="6946"/>
          </w:tcPr>
          <w:p>
            <w:pPr>
              <w:spacing w:after="0"/>
            </w:pPr>
            <w:r>
              <w:rPr>
                <w:b w:val="0"/>
                <w:sz w:val="19"/>
              </w:rPr>
              <w:t>Cooperative research</w:t>
            </w:r>
          </w:p>
        </w:tc>
      </w:tr>
      <w:tr>
        <w:trPr>
          <w:cantSplit w:val="true"/>
        </w:trPr>
        <w:tc>
          <w:tcPr>
            <w:tcW w:type="dxa" w:w="2701"/>
          </w:tcPr>
          <w:p>
            <w:pPr>
              <w:spacing w:after="0"/>
            </w:pPr>
            <w:r>
              <w:rPr>
                <w:b w:val="0"/>
                <w:sz w:val="19"/>
              </w:rPr>
              <w:t>45 CFR 46.114</w:t>
            </w:r>
          </w:p>
        </w:tc>
        <w:tc>
          <w:tcPr>
            <w:tcW w:type="dxa" w:w="6946"/>
          </w:tcPr>
          <w:p>
            <w:pPr>
              <w:spacing w:after="0"/>
            </w:pPr>
            <w:r>
              <w:rPr>
                <w:b w:val="0"/>
                <w:sz w:val="19"/>
              </w:rPr>
              <w:t>Cooperative research (Common Rule single IRB)</w:t>
            </w:r>
          </w:p>
        </w:tc>
      </w:tr>
      <w:tr>
        <w:trPr>
          <w:cantSplit w:val="true"/>
        </w:trPr>
        <w:tc>
          <w:tcPr>
            <w:tcW w:type="dxa" w:w="2701"/>
          </w:tcPr>
          <w:p>
            <w:pPr>
              <w:spacing w:after="0"/>
            </w:pPr>
            <w:r>
              <w:rPr>
                <w:b w:val="0"/>
                <w:sz w:val="19"/>
              </w:rPr>
              <w:t>21 CFR 54</w:t>
            </w:r>
          </w:p>
        </w:tc>
        <w:tc>
          <w:tcPr>
            <w:tcW w:type="dxa" w:w="6946"/>
          </w:tcPr>
          <w:p>
            <w:pPr>
              <w:spacing w:after="0"/>
            </w:pPr>
            <w:r>
              <w:rPr>
                <w:b w:val="0"/>
                <w:sz w:val="19"/>
              </w:rPr>
              <w:t>Financial Disclosure by Clinical Investigators</w:t>
            </w:r>
          </w:p>
        </w:tc>
      </w:tr>
      <w:tr>
        <w:trPr>
          <w:cantSplit w:val="true"/>
        </w:trPr>
        <w:tc>
          <w:tcPr>
            <w:tcW w:type="dxa" w:w="2701"/>
          </w:tcPr>
          <w:p>
            <w:pPr>
              <w:spacing w:after="0"/>
            </w:pPr>
            <w:r>
              <w:rPr>
                <w:b w:val="0"/>
                <w:sz w:val="19"/>
              </w:rPr>
              <w:t>42 CFR 11</w:t>
            </w:r>
          </w:p>
        </w:tc>
        <w:tc>
          <w:tcPr>
            <w:tcW w:type="dxa" w:w="6946"/>
          </w:tcPr>
          <w:p>
            <w:pPr>
              <w:spacing w:after="0"/>
            </w:pPr>
            <w:r>
              <w:rPr>
                <w:b w:val="0"/>
                <w:sz w:val="19"/>
              </w:rPr>
              <w:t>Clinical Trials Registration and Results Information Submission</w:t>
            </w:r>
          </w:p>
        </w:tc>
      </w:tr>
      <w:tr>
        <w:trPr>
          <w:cantSplit w:val="true"/>
        </w:trPr>
        <w:tc>
          <w:tcPr>
            <w:tcW w:type="dxa" w:w="2701"/>
          </w:tcPr>
          <w:p>
            <w:pPr>
              <w:spacing w:after="0"/>
            </w:pPr>
            <w:r>
              <w:rPr>
                <w:b w:val="0"/>
                <w:sz w:val="19"/>
              </w:rPr>
              <w:t>ICH E6(R3) Annex 1, 3</w:t>
            </w:r>
          </w:p>
        </w:tc>
        <w:tc>
          <w:tcPr>
            <w:tcW w:type="dxa" w:w="6946"/>
          </w:tcPr>
          <w:p>
            <w:pPr>
              <w:spacing w:after="0"/>
            </w:pPr>
            <w:r>
              <w:rPr>
                <w:b w:val="0"/>
                <w:sz w:val="19"/>
              </w:rPr>
              <w:t>Sponsor</w:t>
            </w:r>
          </w:p>
        </w:tc>
      </w:tr>
      <w:tr>
        <w:trPr>
          <w:cantSplit w:val="true"/>
        </w:trPr>
        <w:tc>
          <w:tcPr>
            <w:tcW w:type="dxa" w:w="2701"/>
          </w:tcPr>
          <w:p>
            <w:pPr>
              <w:spacing w:after="0"/>
            </w:pPr>
            <w:r>
              <w:rPr>
                <w:b w:val="0"/>
                <w:sz w:val="19"/>
              </w:rPr>
              <w:t>ICH E6(R3) Annex 1, 4</w:t>
            </w:r>
          </w:p>
        </w:tc>
        <w:tc>
          <w:tcPr>
            <w:tcW w:type="dxa" w:w="6946"/>
          </w:tcPr>
          <w:p>
            <w:pPr>
              <w:spacing w:after="0"/>
            </w:pPr>
            <w:r>
              <w:rPr>
                <w:b w:val="0"/>
                <w:sz w:val="19"/>
              </w:rPr>
              <w:t>Data Governance: Investigator and Sponsor</w:t>
            </w:r>
          </w:p>
        </w:tc>
      </w:tr>
      <w:tr>
        <w:trPr>
          <w:cantSplit w:val="true"/>
        </w:trPr>
        <w:tc>
          <w:tcPr>
            <w:tcW w:type="dxa" w:w="2701"/>
          </w:tcPr>
          <w:p>
            <w:pPr>
              <w:spacing w:after="0"/>
            </w:pPr>
            <w:r>
              <w:rPr>
                <w:b w:val="0"/>
                <w:sz w:val="19"/>
              </w:rPr>
              <w:t>ICH E6(R3) Glossary</w:t>
            </w:r>
          </w:p>
        </w:tc>
        <w:tc>
          <w:tcPr>
            <w:tcW w:type="dxa" w:w="6946"/>
          </w:tcPr>
          <w:p>
            <w:pPr>
              <w:spacing w:after="0"/>
            </w:pPr>
            <w:r>
              <w:rPr>
                <w:b w:val="0"/>
                <w:sz w:val="19"/>
              </w:rPr>
              <w:t>Sponsor-Investigator</w:t>
            </w:r>
          </w:p>
        </w:tc>
      </w:tr>
      <w:tr>
        <w:trPr>
          <w:cantSplit w:val="true"/>
        </w:trPr>
        <w:tc>
          <w:tcPr>
            <w:tcW w:type="dxa" w:w="2701"/>
          </w:tcPr>
          <w:p>
            <w:pPr>
              <w:spacing w:after="0"/>
            </w:pPr>
            <w:r>
              <w:rPr>
                <w:b w:val="0"/>
                <w:sz w:val="19"/>
              </w:rPr>
              <w:t>FDA Guidance (2013)</w:t>
            </w:r>
          </w:p>
        </w:tc>
        <w:tc>
          <w:tcPr>
            <w:tcW w:type="dxa" w:w="6946"/>
          </w:tcPr>
          <w:p>
            <w:pPr>
              <w:spacing w:after="0"/>
            </w:pPr>
            <w:r>
              <w:rPr>
                <w:b w:val="0"/>
                <w:sz w:val="19"/>
              </w:rPr>
              <w:t>Investigational New Drug Applications (INDs): Determining Whether Human Research Studies Can Be Conducted Without an IND</w:t>
            </w:r>
          </w:p>
        </w:tc>
      </w:tr>
      <w:tr>
        <w:trPr>
          <w:cantSplit w:val="true"/>
        </w:trPr>
        <w:tc>
          <w:tcPr>
            <w:tcW w:type="dxa" w:w="2701"/>
          </w:tcPr>
          <w:p>
            <w:pPr>
              <w:spacing w:after="0"/>
            </w:pPr>
            <w:r>
              <w:rPr>
                <w:b w:val="0"/>
                <w:sz w:val="19"/>
              </w:rPr>
              <w:t>FDA Draft Guidance (2015)</w:t>
            </w:r>
          </w:p>
        </w:tc>
        <w:tc>
          <w:tcPr>
            <w:tcW w:type="dxa" w:w="6946"/>
          </w:tcPr>
          <w:p>
            <w:pPr>
              <w:spacing w:after="0"/>
            </w:pPr>
            <w:r>
              <w:rPr>
                <w:b w:val="0"/>
                <w:sz w:val="19"/>
              </w:rPr>
              <w:t>IND Applications Prepared and Submitted by Sponsor-Investigators</w:t>
            </w:r>
          </w:p>
        </w:tc>
      </w:tr>
      <w:tr>
        <w:trPr>
          <w:cantSplit w:val="true"/>
        </w:trPr>
        <w:tc>
          <w:tcPr>
            <w:tcW w:type="dxa" w:w="2701"/>
          </w:tcPr>
          <w:p>
            <w:pPr>
              <w:spacing w:after="0"/>
            </w:pPr>
            <w:r>
              <w:rPr>
                <w:b w:val="0"/>
                <w:sz w:val="19"/>
              </w:rPr>
              <w:t>FDA Guidance (December 2025)</w:t>
            </w:r>
          </w:p>
        </w:tc>
        <w:tc>
          <w:tcPr>
            <w:tcW w:type="dxa" w:w="6946"/>
          </w:tcPr>
          <w:p>
            <w:pPr>
              <w:spacing w:after="0"/>
            </w:pPr>
            <w:r>
              <w:rPr>
                <w:b w:val="0"/>
                <w:sz w:val="19"/>
              </w:rPr>
              <w:t>Sponsor Responsibilities: Safety Reporting Requirements and Safety Assessment for IND and Bioavailability/Bioequivalence Studies (replaced the 2012 guidance Safety Reporting Requirements for INDs and BA/BE Studies)</w:t>
            </w:r>
          </w:p>
        </w:tc>
      </w:tr>
      <w:tr>
        <w:trPr>
          <w:cantSplit w:val="true"/>
        </w:trPr>
        <w:tc>
          <w:tcPr>
            <w:tcW w:type="dxa" w:w="2701"/>
          </w:tcPr>
          <w:p>
            <w:pPr>
              <w:spacing w:after="0"/>
            </w:pPr>
            <w:r>
              <w:rPr>
                <w:b w:val="0"/>
                <w:sz w:val="19"/>
              </w:rPr>
              <w:t>FDA Guidance (December 2025)</w:t>
            </w:r>
          </w:p>
        </w:tc>
        <w:tc>
          <w:tcPr>
            <w:tcW w:type="dxa" w:w="6946"/>
          </w:tcPr>
          <w:p>
            <w:pPr>
              <w:spacing w:after="0"/>
            </w:pPr>
            <w:r>
              <w:rPr>
                <w:b w:val="0"/>
                <w:sz w:val="19"/>
              </w:rPr>
              <w:t>Investigator Responsibilities: Safety Reporting for Investigational Drugs and Devices</w:t>
            </w:r>
          </w:p>
        </w:tc>
      </w:tr>
      <w:tr>
        <w:trPr>
          <w:cantSplit w:val="true"/>
        </w:trPr>
        <w:tc>
          <w:tcPr>
            <w:tcW w:type="dxa" w:w="2701"/>
          </w:tcPr>
          <w:p>
            <w:pPr>
              <w:spacing w:after="0"/>
            </w:pPr>
            <w:r>
              <w:rPr>
                <w:b w:val="0"/>
                <w:sz w:val="19"/>
              </w:rPr>
              <w:t>FDA Guidance (2013)</w:t>
            </w:r>
          </w:p>
        </w:tc>
        <w:tc>
          <w:tcPr>
            <w:tcW w:type="dxa" w:w="6946"/>
          </w:tcPr>
          <w:p>
            <w:pPr>
              <w:spacing w:after="0"/>
            </w:pPr>
            <w:r>
              <w:rPr>
                <w:b w:val="0"/>
                <w:sz w:val="19"/>
              </w:rPr>
              <w:t>Oversight of Clinical Investigations: A Risk-Based Approach to Monitoring</w:t>
            </w:r>
          </w:p>
        </w:tc>
      </w:tr>
      <w:tr>
        <w:trPr>
          <w:cantSplit w:val="true"/>
        </w:trPr>
        <w:tc>
          <w:tcPr>
            <w:tcW w:type="dxa" w:w="2701"/>
          </w:tcPr>
          <w:p>
            <w:pPr>
              <w:spacing w:after="0"/>
            </w:pPr>
            <w:r>
              <w:rPr>
                <w:b w:val="0"/>
                <w:sz w:val="19"/>
              </w:rPr>
              <w:t>FDA Information Sheet Guidance (2006)</w:t>
            </w:r>
          </w:p>
        </w:tc>
        <w:tc>
          <w:tcPr>
            <w:tcW w:type="dxa" w:w="6946"/>
          </w:tcPr>
          <w:p>
            <w:pPr>
              <w:spacing w:after="0"/>
            </w:pPr>
            <w:r>
              <w:rPr>
                <w:b w:val="0"/>
                <w:sz w:val="19"/>
              </w:rPr>
              <w:t>Significant Risk and Nonsignificant Risk Medical Device Studies</w:t>
            </w:r>
          </w:p>
        </w:tc>
      </w:tr>
      <w:tr>
        <w:trPr>
          <w:cantSplit w:val="true"/>
        </w:trPr>
        <w:tc>
          <w:tcPr>
            <w:tcW w:type="dxa" w:w="2701"/>
          </w:tcPr>
          <w:p>
            <w:pPr>
              <w:spacing w:after="0"/>
            </w:pPr>
            <w:r>
              <w:rPr>
                <w:b w:val="0"/>
                <w:sz w:val="19"/>
              </w:rPr>
              <w:t>FDA Compliance Programs 7348.811 and 7348.810</w:t>
            </w:r>
          </w:p>
        </w:tc>
        <w:tc>
          <w:tcPr>
            <w:tcW w:type="dxa" w:w="6946"/>
          </w:tcPr>
          <w:p>
            <w:pPr>
              <w:spacing w:after="0"/>
            </w:pPr>
            <w:r>
              <w:rPr>
                <w:b w:val="0"/>
                <w:sz w:val="19"/>
              </w:rPr>
              <w:t>Bioresearch Monitoring: Clinical Investigators and Sponsor-Investigators; Sponsors, Contract Research Organizations and Monitors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SOP-800 Sponsor-Investigator Responsibilities (IND/IDE Holder)</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SOP-800 Sponsor-Investigator Responsibilities (IND/IDE Holder)</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