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SOP-313</w:t>
      </w:r>
    </w:p>
    <w:p>
      <w:pPr>
        <w:pStyle w:val="Title"/>
        <w:pBdr>
          <w:bottom w:val="single" w:sz="12" w:space="1" w:color="1F3864"/>
        </w:pBdr>
        <w:spacing w:after="120"/>
      </w:pPr>
      <w:r>
        <w:rPr>
          <w:b w:val="0"/>
          <w:color w:val="1F3864"/>
          <w:sz w:val="36"/>
        </w:rPr>
        <w:t>Decentralized Trial Elements (Remote Visits, Home Health, Direct-to-Participant IP)</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conducts trial activities away from the site: telehealth visits, home health visits by site staff or vendors, procedures by local healthcare providers, direct-to-participant shipment of investigational product (IP), and digital health technologies (DHTs). The PI's responsibilities do not change when an activity happens at the participant's home or a local clinic. This SOP sets out how the site keeps oversight, documentation, privacy and participant safety at the same standard as an on-site visit.</w:t>
      </w:r>
    </w:p>
    <w:p>
      <w:pPr>
        <w:pStyle w:val="Heading1"/>
      </w:pPr>
      <w:r>
        <w:t>2. Scope</w:t>
      </w:r>
    </w:p>
    <w:p>
      <w:pPr/>
      <w:r>
        <w:rPr>
          <w:b w:val="0"/>
        </w:rPr>
        <w:t xml:space="preserve">This SOP applies to any decentralized element permitted by a protocol and approved by the IRB at </w:t>
      </w:r>
      <w:r>
        <w:rPr>
          <w:b w:val="0"/>
          <w:highlight w:val="yellow"/>
        </w:rPr>
        <w:t>[SITE NAME]</w:t>
      </w:r>
      <w:r>
        <w:rPr>
          <w:b w:val="0"/>
        </w:rPr>
        <w:t>, whether arranged by the sponsor (sponsor-engaged home health, logistics or DHT vendors) or by the site (site staff visits, site-engaged vendors, local providers chosen with the participant).</w:t>
      </w:r>
    </w:p>
    <w:p>
      <w:pPr/>
      <w:r>
        <w:rPr>
          <w:b w:val="0"/>
        </w:rPr>
        <w:t>Out of scope: remote consent and eConsent procedure, including identity verification at consent (SOP-301, section 5.9.4), remote monitoring by sponsors (SOP-600), and remote regulatory assessments (SOP-702). Where the protocol, sponsor or IRB requirement is stricter than this SOP, the site follows the stricter requirement. A decentralized element is used only if the protocol permits it; this SOP does not authorize remote conduct of a visit the protocol requires in person.</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Remains responsible for all trial activities wherever performed. Decides which delegated activities are performed remotely within protocol limits. Supervises remote staff and vendors. Reviews reports from local healthcare providers and DHT data. Holds a valid license in each state where they conduct telehealth with participants, or arranges an investigator who does.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Conducts telehealth assessments as delegated, under the same licensure conditions as the PI.</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the site's telehealth platform and any site-engaged home health or logistics vendor. Confirms staff licensure and insurance cover remote activities.</w:t>
            </w:r>
          </w:p>
        </w:tc>
      </w:tr>
      <w:tr>
        <w:trPr>
          <w:cantSplit w:val="true"/>
        </w:trPr>
        <w:tc>
          <w:tcPr>
            <w:tcW w:type="dxa" w:w="2701"/>
          </w:tcPr>
          <w:p>
            <w:pPr>
              <w:keepNext/>
              <w:spacing w:after="0"/>
            </w:pPr>
            <w:r>
              <w:rPr>
                <w:b w:val="0"/>
                <w:sz w:val="19"/>
              </w:rPr>
              <w:t>Clinical Research Coordinator (CRC) or Lead CRC</w:t>
            </w:r>
          </w:p>
        </w:tc>
        <w:tc>
          <w:tcPr>
            <w:tcW w:type="dxa" w:w="6946"/>
          </w:tcPr>
          <w:p>
            <w:pPr>
              <w:keepNext/>
              <w:spacing w:after="0"/>
            </w:pPr>
            <w:r>
              <w:rPr>
                <w:b w:val="0"/>
                <w:sz w:val="19"/>
              </w:rPr>
              <w:t>Schedules and documents remote and home visits on F-313-01. Coordinates with vendors and local providers. Verifies participant identity at each remote encounter. Tracks direct-to-participant IP shipments and DHT devices.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Authorizes release of IP for direct-to-participant shipment as the sponsor's process requires, after an investigator has confirmed the participant may receive it (section 5.6.2), and reconciles IP receipt, returns and accountability.</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decentralized elements and participant materials to the IRB. Maintains Form FDA 1572 and the delegation log for remote staff. Files vendor and local provider documentation.</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Includes remote activities in QC reviews. Reviews vendor performance and privacy incidents.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Decentralized element</w:t>
            </w:r>
          </w:p>
        </w:tc>
        <w:tc>
          <w:tcPr>
            <w:tcW w:type="dxa" w:w="6946"/>
          </w:tcPr>
          <w:p>
            <w:pPr>
              <w:keepNext/>
              <w:spacing w:after="0"/>
            </w:pPr>
            <w:r>
              <w:rPr>
                <w:b w:val="0"/>
                <w:sz w:val="19"/>
              </w:rPr>
              <w:t>A trial-related activity performed at a location other than the traditional trial site, such as the participant's home, a local healthcare facility or a pharmacy.</w:t>
            </w:r>
          </w:p>
        </w:tc>
      </w:tr>
      <w:tr>
        <w:trPr>
          <w:cantSplit w:val="true"/>
        </w:trPr>
        <w:tc>
          <w:tcPr>
            <w:tcW w:type="dxa" w:w="2701"/>
          </w:tcPr>
          <w:p>
            <w:pPr>
              <w:keepNext/>
              <w:spacing w:after="0"/>
            </w:pPr>
            <w:r>
              <w:rPr>
                <w:b w:val="0"/>
                <w:sz w:val="19"/>
              </w:rPr>
              <w:t>Telehealth visit</w:t>
            </w:r>
          </w:p>
        </w:tc>
        <w:tc>
          <w:tcPr>
            <w:tcW w:type="dxa" w:w="6946"/>
          </w:tcPr>
          <w:p>
            <w:pPr>
              <w:keepNext/>
              <w:spacing w:after="0"/>
            </w:pPr>
            <w:r>
              <w:rPr>
                <w:b w:val="0"/>
                <w:sz w:val="19"/>
              </w:rPr>
              <w:t>A trial visit conducted by real-time audio and video (or audio only, where the protocol allows) between trial personnel and a participant at a different location.</w:t>
            </w:r>
          </w:p>
        </w:tc>
      </w:tr>
      <w:tr>
        <w:trPr>
          <w:cantSplit w:val="true"/>
        </w:trPr>
        <w:tc>
          <w:tcPr>
            <w:tcW w:type="dxa" w:w="2701"/>
          </w:tcPr>
          <w:p>
            <w:pPr>
              <w:keepNext/>
              <w:spacing w:after="0"/>
            </w:pPr>
            <w:r>
              <w:rPr>
                <w:b w:val="0"/>
                <w:sz w:val="19"/>
              </w:rPr>
              <w:t>Trial personnel</w:t>
            </w:r>
          </w:p>
        </w:tc>
        <w:tc>
          <w:tcPr>
            <w:tcW w:type="dxa" w:w="6946"/>
          </w:tcPr>
          <w:p>
            <w:pPr>
              <w:keepNext/>
              <w:spacing w:after="0"/>
            </w:pPr>
            <w:r>
              <w:rPr>
                <w:b w:val="0"/>
                <w:sz w:val="19"/>
              </w:rPr>
              <w:t>Investigators and staff who perform trial-specific activities under the PI's delegation and protocol training, including site staff who travel to participants and staff of sponsor- or site-engaged home health vendors.</w:t>
            </w:r>
          </w:p>
        </w:tc>
      </w:tr>
      <w:tr>
        <w:trPr>
          <w:cantSplit w:val="true"/>
        </w:trPr>
        <w:tc>
          <w:tcPr>
            <w:tcW w:type="dxa" w:w="2701"/>
          </w:tcPr>
          <w:p>
            <w:pPr>
              <w:keepNext/>
              <w:spacing w:after="0"/>
            </w:pPr>
            <w:r>
              <w:rPr>
                <w:b w:val="0"/>
                <w:sz w:val="19"/>
              </w:rPr>
              <w:t>Local healthcare provider (local HCP)</w:t>
            </w:r>
          </w:p>
        </w:tc>
        <w:tc>
          <w:tcPr>
            <w:tcW w:type="dxa" w:w="6946"/>
          </w:tcPr>
          <w:p>
            <w:pPr>
              <w:keepNext/>
              <w:spacing w:after="0"/>
            </w:pPr>
            <w:r>
              <w:rPr>
                <w:b w:val="0"/>
                <w:sz w:val="19"/>
              </w:rPr>
              <w:t>A physician, nurse or other licensed provider near the participant who performs trial-related activities that do not differ from those they perform in clinical practice and do not require detailed knowledge of the protocol, investigator's brochure or IP (for example a physical examination, vital signs or routine blood draw).</w:t>
            </w:r>
          </w:p>
        </w:tc>
      </w:tr>
      <w:tr>
        <w:trPr>
          <w:cantSplit w:val="true"/>
        </w:trPr>
        <w:tc>
          <w:tcPr>
            <w:tcW w:type="dxa" w:w="2701"/>
          </w:tcPr>
          <w:p>
            <w:pPr>
              <w:keepNext/>
              <w:spacing w:after="0"/>
            </w:pPr>
            <w:r>
              <w:rPr>
                <w:b w:val="0"/>
                <w:sz w:val="19"/>
              </w:rPr>
              <w:t>Direct-to-participant (DtP) shipment</w:t>
            </w:r>
          </w:p>
        </w:tc>
        <w:tc>
          <w:tcPr>
            <w:tcW w:type="dxa" w:w="6946"/>
          </w:tcPr>
          <w:p>
            <w:pPr>
              <w:keepNext/>
              <w:spacing w:after="0"/>
            </w:pPr>
            <w:r>
              <w:rPr>
                <w:b w:val="0"/>
                <w:sz w:val="19"/>
              </w:rPr>
              <w:t>Shipment of IP from the site, sponsor depot or central distributor to the participant's location or to a local HCP.</w:t>
            </w:r>
          </w:p>
        </w:tc>
      </w:tr>
      <w:tr>
        <w:trPr>
          <w:cantSplit w:val="true"/>
        </w:trPr>
        <w:tc>
          <w:tcPr>
            <w:tcW w:type="dxa" w:w="2701"/>
          </w:tcPr>
          <w:p>
            <w:pPr>
              <w:keepNext/>
              <w:spacing w:after="0"/>
            </w:pPr>
            <w:r>
              <w:rPr>
                <w:b w:val="0"/>
                <w:sz w:val="19"/>
              </w:rPr>
              <w:t>Digital health technology (DHT)</w:t>
            </w:r>
          </w:p>
        </w:tc>
        <w:tc>
          <w:tcPr>
            <w:tcW w:type="dxa" w:w="6946"/>
          </w:tcPr>
          <w:p>
            <w:pPr>
              <w:keepNext/>
              <w:spacing w:after="0"/>
            </w:pPr>
            <w:r>
              <w:rPr>
                <w:b w:val="0"/>
                <w:sz w:val="19"/>
              </w:rPr>
              <w:t>A system that uses computing platforms, connectivity, software and/or sensors to acquire data remotely from participants (for example wearables, home spirometers, ePRO apps).</w:t>
            </w:r>
          </w:p>
        </w:tc>
      </w:tr>
      <w:tr>
        <w:trPr>
          <w:cantSplit w:val="true"/>
        </w:trPr>
        <w:tc>
          <w:tcPr>
            <w:tcW w:type="dxa" w:w="2701"/>
          </w:tcPr>
          <w:p>
            <w:pPr>
              <w:spacing w:after="0"/>
            </w:pPr>
            <w:r>
              <w:rPr>
                <w:b w:val="0"/>
                <w:sz w:val="19"/>
              </w:rPr>
              <w:t>Data originator</w:t>
            </w:r>
          </w:p>
        </w:tc>
        <w:tc>
          <w:tcPr>
            <w:tcW w:type="dxa" w:w="6946"/>
          </w:tcPr>
          <w:p>
            <w:pPr>
              <w:spacing w:after="0"/>
            </w:pPr>
            <w:r>
              <w:rPr>
                <w:b w:val="0"/>
                <w:sz w:val="19"/>
              </w:rPr>
              <w:t>The person, device or system that first records a data element in electronic form.</w:t>
            </w:r>
          </w:p>
        </w:tc>
      </w:tr>
    </w:tbl>
    <w:p>
      <w:pPr>
        <w:spacing w:after="40"/>
      </w:pPr>
    </w:p>
    <w:p>
      <w:pPr>
        <w:pStyle w:val="Heading1"/>
      </w:pPr>
      <w:r>
        <w:t>5. Procedure</w:t>
      </w:r>
    </w:p>
    <w:p>
      <w:pPr>
        <w:pStyle w:val="Heading2"/>
      </w:pPr>
      <w:r>
        <w:t>5.1 Study setup</w:t>
      </w:r>
    </w:p>
    <w:p>
      <w:pPr>
        <w:tabs>
          <w:tab w:pos="648" w:val="left"/>
        </w:tabs>
        <w:ind w:left="648" w:hanging="648"/>
      </w:pPr>
      <w:r>
        <w:rPr>
          <w:b/>
        </w:rPr>
        <w:t>5.1.1</w:t>
        <w:tab/>
      </w:r>
      <w:r>
        <w:rPr>
          <w:b w:val="0"/>
        </w:rPr>
        <w:t>During feasibility and start-up (SOP-200, SOP-205), the Lead CRC lists each decentralized element the protocol permits or requires and records for each:</w:t>
      </w:r>
    </w:p>
    <w:p>
      <w:pPr>
        <w:pStyle w:val="ListBullet"/>
        <w:spacing w:after="40"/>
        <w:ind w:left="1008" w:hanging="259"/>
      </w:pPr>
      <w:r>
        <w:rPr>
          <w:b w:val="0"/>
        </w:rPr>
        <w:t>who performs it (site staff, sponsor vendor, site vendor, local HCP, participant)</w:t>
      </w:r>
    </w:p>
    <w:p>
      <w:pPr>
        <w:pStyle w:val="ListBullet"/>
        <w:spacing w:after="40"/>
        <w:ind w:left="1008" w:hanging="259"/>
      </w:pPr>
      <w:r>
        <w:rPr>
          <w:b w:val="0"/>
        </w:rPr>
        <w:t>where it happens and in which states participants may be located</w:t>
      </w:r>
    </w:p>
    <w:p>
      <w:pPr>
        <w:pStyle w:val="ListBullet"/>
        <w:spacing w:after="40"/>
        <w:ind w:left="1008" w:hanging="259"/>
      </w:pPr>
      <w:r>
        <w:rPr>
          <w:b w:val="0"/>
        </w:rPr>
        <w:t>how data and reports get back to the site and into the source record</w:t>
      </w:r>
    </w:p>
    <w:p>
      <w:pPr>
        <w:pStyle w:val="ListBullet"/>
        <w:spacing w:after="40"/>
        <w:ind w:left="1008" w:hanging="259"/>
      </w:pPr>
      <w:r>
        <w:rPr>
          <w:b w:val="0"/>
        </w:rPr>
        <w:t>how IP and DHTs reach the participant and come back</w:t>
      </w:r>
    </w:p>
    <w:p>
      <w:pPr>
        <w:pStyle w:val="ListBullet"/>
        <w:spacing w:after="40"/>
        <w:ind w:left="1008" w:hanging="259"/>
      </w:pPr>
      <w:r>
        <w:rPr>
          <w:b w:val="0"/>
        </w:rPr>
        <w:t>how adverse events found remotely are assessed and managed, including urgent in-person care</w:t>
      </w:r>
    </w:p>
    <w:p>
      <w:pPr>
        <w:tabs>
          <w:tab w:pos="648" w:val="left"/>
        </w:tabs>
        <w:ind w:left="648" w:hanging="648"/>
      </w:pPr>
      <w:r>
        <w:rPr>
          <w:b/>
        </w:rPr>
        <w:t>5.1.2</w:t>
        <w:tab/>
      </w:r>
      <w:r>
        <w:rPr>
          <w:b w:val="0"/>
        </w:rPr>
        <w:t>The Regulatory Coordinator confirms the IRB has approved the decentralized elements and every participant-facing material (telehealth instructions, home visit letters, DHT instructions, IP shipping instructions).</w:t>
      </w:r>
    </w:p>
    <w:p>
      <w:pPr>
        <w:tabs>
          <w:tab w:pos="648" w:val="left"/>
        </w:tabs>
        <w:ind w:left="648" w:hanging="648"/>
      </w:pPr>
      <w:r>
        <w:rPr>
          <w:b/>
        </w:rPr>
        <w:t>5.1.3</w:t>
        <w:tab/>
      </w:r>
      <w:r>
        <w:rPr>
          <w:b w:val="0"/>
        </w:rPr>
        <w:t>The Site Director confirms that the site's professional liability insurance covers remote and home activities by site staff, and that sponsor vendors carry their own insurance per the vendor agreement.</w:t>
      </w:r>
    </w:p>
    <w:p>
      <w:pPr>
        <w:tabs>
          <w:tab w:pos="648" w:val="left"/>
        </w:tabs>
        <w:ind w:left="648" w:hanging="648"/>
      </w:pPr>
      <w:r>
        <w:rPr>
          <w:b/>
        </w:rPr>
        <w:t>5.1.4</w:t>
        <w:tab/>
      </w:r>
      <w:r>
        <w:rPr>
          <w:b w:val="0"/>
        </w:rPr>
        <w:t>Site-engaged vendors (home health, courier, telehealth platform) are qualified and overseen under SOP-105 with a written agreement, a business associate agreement or equivalent data protection terms where they receive protected health information, and a record on F-105-01. Sponsor-engaged vendors are the sponsor's responsibility to qualify; the site still checks that the vendor's staff receive protocol training for the tasks they do and reports performance problems to the sponsor.</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 network home-health team or telehealth service run by the Network Office (Appendix B, SOP-313 rows) is treated as site-engaged for each member site it serves. Its staff are delegated on that site's F-302-01 for each study (SOP-904), and their visit records return to that site as source (section 5.5.4). In N-Affiliated, the Network Office is a separate legal entity, so the service needs a written agreement with each member site covering PI oversight, insurance, PHI terms recorded on F-905-01 and return of records, and is qualified under SOP-105.</w:t>
            </w:r>
          </w:p>
        </w:tc>
      </w:tr>
    </w:tbl>
    <w:p>
      <w:pPr>
        <w:spacing w:after="0"/>
      </w:pPr>
    </w:p>
    <w:p>
      <w:pPr>
        <w:tabs>
          <w:tab w:pos="648" w:val="left"/>
        </w:tabs>
        <w:ind w:left="648" w:hanging="648"/>
      </w:pPr>
      <w:r>
        <w:rPr>
          <w:b/>
        </w:rPr>
        <w:t>5.1.5</w:t>
        <w:tab/>
      </w:r>
      <w:r>
        <w:rPr>
          <w:b w:val="0"/>
        </w:rPr>
        <w:t>Staff who conduct remote or home visits are trained on the protocol, this SOP, the telehealth platform and, for home visits, safety and emergency procedures for working alone. Training is recorded on F-103-01.</w:t>
      </w:r>
    </w:p>
    <w:p>
      <w:pPr>
        <w:pStyle w:val="Heading2"/>
      </w:pPr>
      <w:r>
        <w:t>5.2 Delegation, Form FDA 1572 and local HCPs</w:t>
      </w:r>
    </w:p>
    <w:p>
      <w:pPr>
        <w:tabs>
          <w:tab w:pos="648" w:val="left"/>
        </w:tabs>
        <w:ind w:left="648" w:hanging="648"/>
      </w:pPr>
      <w:r>
        <w:rPr>
          <w:b/>
        </w:rPr>
        <w:t>5.2.1</w:t>
        <w:tab/>
      </w:r>
      <w:r>
        <w:rPr>
          <w:b w:val="0"/>
        </w:rPr>
        <w:t>Site staff and vendor staff who perform trial-specific activities are trial personnel. The PI delegates their tasks on F-302-01 after confirming qualification and protocol training (ICH E6(R3) Annex 1, 2.3).</w:t>
      </w:r>
    </w:p>
    <w:p>
      <w:pPr>
        <w:tabs>
          <w:tab w:pos="648" w:val="left"/>
        </w:tabs>
        <w:ind w:left="648" w:hanging="648"/>
      </w:pPr>
      <w:r>
        <w:rPr>
          <w:b/>
        </w:rPr>
        <w:t>5.2.2</w:t>
        <w:tab/>
      </w:r>
      <w:r>
        <w:rPr>
          <w:b w:val="0"/>
        </w:rPr>
        <w:t>For IND studies, the PI lists as sub-investigators on Form FDA 1572 those trial personnel who contribute directly and significantly to trial data (for example assessing adverse events, performing a clinical outcome assessment, applying a protocol scoring system) or who need detailed knowledge of the protocol, investigator's brochure or IP. People who are not sub-investigators are not listed on the 1572. When such personnel are added, the Regulatory Coordinator records the change and informs the sponsor, and provides a new signed 1572 only if the sponsor requires one (SOP-302 5.5.2).</w:t>
      </w:r>
    </w:p>
    <w:p>
      <w:pPr>
        <w:tabs>
          <w:tab w:pos="648" w:val="left"/>
        </w:tabs>
        <w:ind w:left="648" w:hanging="648"/>
      </w:pPr>
      <w:r>
        <w:rPr>
          <w:b/>
        </w:rPr>
        <w:t>5.2.3</w:t>
        <w:tab/>
      </w:r>
      <w:r>
        <w:rPr>
          <w:b w:val="0"/>
        </w:rPr>
        <w:t>Local HCPs who perform only routine clinical activities within their normal practice, without needing detailed protocol or IP knowledge, are not trial personnel and are not sub-investigators. FDA's final 2024 decentralized elements guidance does not ask investigators to list them on a delegation or task log (the 2023 draft did). Instead:</w:t>
      </w:r>
    </w:p>
    <w:p>
      <w:pPr>
        <w:pStyle w:val="ListBullet"/>
        <w:spacing w:after="40"/>
        <w:ind w:left="1008" w:hanging="259"/>
      </w:pPr>
      <w:r>
        <w:rPr>
          <w:b w:val="0"/>
        </w:rPr>
        <w:t>each report from a local HCP must show the HCP's name and the date the activity was performed</w:t>
      </w:r>
    </w:p>
    <w:p>
      <w:pPr>
        <w:pStyle w:val="ListBullet"/>
        <w:spacing w:after="40"/>
        <w:ind w:left="1008" w:hanging="259"/>
      </w:pPr>
      <w:r>
        <w:rPr>
          <w:b w:val="0"/>
        </w:rPr>
        <w:t>the PI or delegate communicates any protocol-specific instructions to the local HCP (for example "participant seated and rested 5 minutes before blood pressure")</w:t>
      </w:r>
    </w:p>
    <w:p>
      <w:pPr>
        <w:pStyle w:val="ListBullet"/>
        <w:spacing w:after="40"/>
        <w:ind w:left="1008" w:hanging="259"/>
      </w:pPr>
      <w:r>
        <w:rPr>
          <w:b w:val="0"/>
        </w:rPr>
        <w:t>the PI or a delegated Sub-I reviews local HCP reports within the result review times in SOP-101, section 5.4.4, follows up abnormal findings, and signs and dates the review</w:t>
      </w:r>
    </w:p>
    <w:p>
      <w:pPr>
        <w:tabs>
          <w:tab w:pos="648" w:val="left"/>
        </w:tabs>
        <w:ind w:left="648" w:hanging="648"/>
      </w:pPr>
      <w:r>
        <w:rPr>
          <w:b/>
        </w:rPr>
        <w:t>5.2.4</w:t>
        <w:tab/>
      </w:r>
      <w:r>
        <w:rPr>
          <w:b w:val="0"/>
        </w:rPr>
        <w:t>For device studies, local HCPs providing routine services without detailed protocol or device knowledge are not investigators and are not added to the sponsor's investigator list.</w:t>
      </w:r>
    </w:p>
    <w:p>
      <w:pPr>
        <w:tabs>
          <w:tab w:pos="648" w:val="left"/>
        </w:tabs>
        <w:ind w:left="648" w:hanging="648"/>
      </w:pPr>
      <w:r>
        <w:rPr>
          <w:b/>
        </w:rPr>
        <w:t>5.2.5</w:t>
        <w:tab/>
      </w:r>
      <w:r>
        <w:rPr>
          <w:b w:val="0"/>
        </w:rPr>
        <w:t>Local HCPs do not obtain informed consent. FDA's decentralized elements guidance states that investigators should not delegate obtaining informed consent to local HCPs.</w:t>
      </w:r>
    </w:p>
    <w:p>
      <w:pPr>
        <w:tabs>
          <w:tab w:pos="648" w:val="left"/>
        </w:tabs>
        <w:ind w:left="648" w:hanging="648"/>
      </w:pPr>
      <w:r>
        <w:rPr>
          <w:b/>
        </w:rPr>
        <w:t>5.2.6</w:t>
        <w:tab/>
      </w:r>
      <w:r>
        <w:rPr>
          <w:b w:val="0"/>
        </w:rPr>
        <w:t>Local clinical laboratories used for protocol tests are handled under SOP-312, including listing on the 1572 for IND studies.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Even though FDA's guidance does not call for a local HCP log, </w:t>
            </w:r>
            <w:r>
              <w:rPr>
                <w:b w:val="0"/>
                <w:sz w:val="20"/>
                <w:highlight w:val="yellow"/>
              </w:rPr>
              <w:t>[SITE NAME]</w:t>
            </w:r>
            <w:r>
              <w:rPr>
                <w:b w:val="0"/>
                <w:sz w:val="20"/>
              </w:rPr>
              <w:t xml:space="preserve"> </w:t>
            </w:r>
            <w:r>
              <w:rPr>
                <w:b w:val="0"/>
                <w:sz w:val="20"/>
                <w:highlight w:val="yellow"/>
              </w:rPr>
              <w:t>[WILL / WILL NOT]</w:t>
            </w:r>
            <w:r>
              <w:rPr>
                <w:b w:val="0"/>
                <w:sz w:val="20"/>
              </w:rPr>
              <w:t xml:space="preserve"> keep a study-level list of local HCPs and facilities used (name, address, activities, dates). A list makes monitoring and inspection easier and does not imply delegation.</w:t>
            </w:r>
          </w:p>
        </w:tc>
      </w:tr>
    </w:tbl>
    <w:p>
      <w:pPr>
        <w:spacing w:after="0"/>
      </w:pPr>
    </w:p>
    <w:p>
      <w:pPr>
        <w:pStyle w:val="Heading2"/>
      </w:pPr>
      <w:r>
        <w:t>5.3 Identity verification at remote encounters</w:t>
      </w:r>
    </w:p>
    <w:p>
      <w:pPr>
        <w:tabs>
          <w:tab w:pos="648" w:val="left"/>
        </w:tabs>
        <w:ind w:left="648" w:hanging="648"/>
      </w:pPr>
      <w:r>
        <w:rPr>
          <w:b/>
        </w:rPr>
        <w:t>5.3.1</w:t>
        <w:tab/>
      </w:r>
      <w:r>
        <w:rPr>
          <w:b w:val="0"/>
        </w:rPr>
        <w:t xml:space="preserve">At the start of every telehealth visit and remote encounter, the person conducting it confirms the participant's identity using </w:t>
      </w:r>
      <w:r>
        <w:rPr>
          <w:b w:val="0"/>
          <w:highlight w:val="green"/>
        </w:rPr>
        <w:t>[DEFAULT: two identifiers (full name and date of birth) and visual comparison with the photo identification viewed at the consent or screening visit]</w:t>
      </w:r>
      <w:r>
        <w:rPr>
          <w:b w:val="0"/>
        </w:rPr>
        <w:t>.</w:t>
      </w:r>
    </w:p>
    <w:p>
      <w:pPr>
        <w:tabs>
          <w:tab w:pos="648" w:val="left"/>
        </w:tabs>
        <w:ind w:left="648" w:hanging="648"/>
      </w:pPr>
      <w:r>
        <w:rPr>
          <w:b/>
        </w:rPr>
        <w:t>5.3.2</w:t>
        <w:tab/>
      </w:r>
      <w:r>
        <w:rPr>
          <w:b w:val="0"/>
        </w:rPr>
        <w:t>At the first remote contact, or at remote consent, the CRC verifies identity by the rule in SOP-301, section 5.9.4 and records how identity was verified.</w:t>
      </w:r>
    </w:p>
    <w:p>
      <w:pPr>
        <w:tabs>
          <w:tab w:pos="648" w:val="left"/>
        </w:tabs>
        <w:ind w:left="648" w:hanging="648"/>
      </w:pPr>
      <w:r>
        <w:rPr>
          <w:b/>
        </w:rPr>
        <w:t>5.3.3</w:t>
        <w:tab/>
      </w:r>
      <w:r>
        <w:rPr>
          <w:b w:val="0"/>
        </w:rPr>
        <w:t>Home visit staff verify identity on arrival by the same method.</w:t>
      </w:r>
    </w:p>
    <w:p>
      <w:pPr>
        <w:tabs>
          <w:tab w:pos="648" w:val="left"/>
        </w:tabs>
        <w:ind w:left="648" w:hanging="648"/>
      </w:pPr>
      <w:r>
        <w:rPr>
          <w:b/>
        </w:rPr>
        <w:t>5.3.4</w:t>
        <w:tab/>
      </w:r>
      <w:r>
        <w:rPr>
          <w:b w:val="0"/>
        </w:rPr>
        <w:t>If identity cannot be verified, the visit does not proceed as a trial visit. The CRC records the attempt on F-313-01 and reschedules.</w:t>
      </w:r>
    </w:p>
    <w:p>
      <w:pPr>
        <w:tabs>
          <w:tab w:pos="648" w:val="left"/>
        </w:tabs>
        <w:ind w:left="648" w:hanging="648"/>
      </w:pPr>
      <w:r>
        <w:rPr>
          <w:b/>
        </w:rPr>
        <w:t>5.3.5</w:t>
        <w:tab/>
      </w:r>
      <w:r>
        <w:rPr>
          <w:b w:val="0"/>
        </w:rPr>
        <w:t>When a legally authorized representative or caregiver participates, the CRC verifies their identity and relationship as documented at consent.</w:t>
      </w:r>
    </w:p>
    <w:p>
      <w:pPr>
        <w:pStyle w:val="Heading2"/>
      </w:pPr>
      <w:r>
        <w:t>5.4 Telehealth visits</w:t>
      </w:r>
    </w:p>
    <w:p>
      <w:pPr>
        <w:tabs>
          <w:tab w:pos="648" w:val="left"/>
        </w:tabs>
        <w:ind w:left="648" w:hanging="648"/>
      </w:pPr>
      <w:r>
        <w:rPr>
          <w:b/>
        </w:rPr>
        <w:t>5.4.1</w:t>
        <w:tab/>
      </w:r>
      <w:r>
        <w:rPr>
          <w:b w:val="0"/>
        </w:rPr>
        <w:t>The protocol decides which visits may be telehealth and which must be in person. The CRC does not convert a visit to telehealth on the site's own initiative. If a participant cannot attend an in-person visit, the CRC asks the PI and follows SOP-308 if the visit cannot be done as the protocol requires.</w:t>
      </w:r>
    </w:p>
    <w:p>
      <w:pPr>
        <w:tabs>
          <w:tab w:pos="648" w:val="left"/>
        </w:tabs>
        <w:ind w:left="648" w:hanging="648"/>
      </w:pPr>
      <w:r>
        <w:rPr>
          <w:b/>
        </w:rPr>
        <w:t>5.4.2</w:t>
        <w:tab/>
      </w:r>
      <w:r>
        <w:rPr>
          <w:b w:val="0"/>
        </w:rPr>
        <w:t>Telehealth visits use only the platform approved by the Site Director (SOP-401), which must provide encryption and a business associate agreement where HIPAA applies. Consumer video applications not approved by the site are not used.</w:t>
      </w:r>
    </w:p>
    <w:p>
      <w:pPr>
        <w:tabs>
          <w:tab w:pos="648" w:val="left"/>
        </w:tabs>
        <w:ind w:left="648" w:hanging="648"/>
      </w:pPr>
      <w:r>
        <w:rPr>
          <w:b/>
        </w:rPr>
        <w:t>5.4.3</w:t>
        <w:tab/>
      </w:r>
      <w:r>
        <w:rPr>
          <w:b w:val="0"/>
        </w:rPr>
        <w:t>Staff conduct telehealth from a private space where the participant cannot be overheard by others at the site. At the start, the staff member asks whether the participant is in a private location and whether anyone else is present, and offers to reschedule or move to another location if the participant wants more privacy.</w:t>
      </w:r>
    </w:p>
    <w:p>
      <w:pPr>
        <w:tabs>
          <w:tab w:pos="648" w:val="left"/>
        </w:tabs>
        <w:ind w:left="648" w:hanging="648"/>
      </w:pPr>
      <w:r>
        <w:rPr>
          <w:b/>
        </w:rPr>
        <w:t>5.4.4</w:t>
        <w:tab/>
      </w:r>
      <w:r>
        <w:rPr>
          <w:b w:val="0"/>
        </w:rPr>
        <w:t>Telehealth sessions are not recorded unless the protocol requires it and the consent form discloses it.</w:t>
      </w:r>
    </w:p>
    <w:p>
      <w:pPr>
        <w:tabs>
          <w:tab w:pos="648" w:val="left"/>
        </w:tabs>
        <w:ind w:left="648" w:hanging="648"/>
      </w:pPr>
      <w:r>
        <w:rPr>
          <w:b/>
        </w:rPr>
        <w:t>5.4.5</w:t>
        <w:tab/>
      </w:r>
      <w:r>
        <w:rPr>
          <w:b w:val="0"/>
        </w:rPr>
        <w:t>Live audio and video are not themselves records under 21 CFR Part 11. The visit must be documented in source (visit note or eSource form) in a system that meets the site's computerized system controls (SOP-401).</w:t>
      </w:r>
    </w:p>
    <w:p>
      <w:pPr>
        <w:tabs>
          <w:tab w:pos="648" w:val="left"/>
        </w:tabs>
        <w:ind w:left="648" w:hanging="648"/>
      </w:pPr>
      <w:r>
        <w:rPr>
          <w:b/>
        </w:rPr>
        <w:t>5.4.6</w:t>
        <w:tab/>
      </w:r>
      <w:r>
        <w:rPr>
          <w:b w:val="0"/>
        </w:rPr>
        <w:t>Licensure:</w:t>
      </w:r>
    </w:p>
    <w:p>
      <w:pPr>
        <w:pStyle w:val="ListBullet"/>
        <w:spacing w:after="40"/>
        <w:ind w:left="1008" w:hanging="259"/>
      </w:pPr>
      <w:r>
        <w:rPr>
          <w:b w:val="0"/>
        </w:rPr>
        <w:t>The investigator conducting a telehealth assessment generally needs a license to practice in the state where the participant is physically located at the time of the visit, not only the state where the site is located. Nurses and other licensed staff are subject to the same principle. A multistate nurse license under the Nurse Licensure Compact covers only states that participate in the compact. The Interstate Medical Licensure Compact speeds up getting a license in each participating state but does not by itself authorize practice there.</w:t>
      </w:r>
    </w:p>
    <w:p>
      <w:pPr>
        <w:pStyle w:val="ListBullet"/>
        <w:spacing w:after="40"/>
        <w:ind w:left="1008" w:hanging="259"/>
      </w:pPr>
      <w:r>
        <w:rPr>
          <w:b w:val="0"/>
        </w:rPr>
        <w:t>Before a telehealth visit, the CRC confirms the participant's physical location (state) and checks that the assigned investigator or staff member is licensed there. The location is recorded on F-313-01.</w:t>
      </w:r>
    </w:p>
    <w:p>
      <w:pPr>
        <w:pStyle w:val="ListBullet"/>
        <w:spacing w:after="40"/>
        <w:ind w:left="1008" w:hanging="259"/>
      </w:pPr>
      <w:r>
        <w:rPr>
          <w:b w:val="0"/>
        </w:rPr>
        <w:t>Prescribing or dispensing controlled substances after a telehealth encounter is subject to DEA telemedicine rules in effect at the time; the PI confirms current requirements before relying on them.</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The states where </w:t>
            </w:r>
            <w:r>
              <w:rPr>
                <w:b w:val="0"/>
                <w:sz w:val="20"/>
                <w:highlight w:val="yellow"/>
              </w:rPr>
              <w:t>[SITE NAME]</w:t>
            </w:r>
            <w:r>
              <w:rPr>
                <w:b w:val="0"/>
                <w:sz w:val="20"/>
              </w:rPr>
              <w:t xml:space="preserve"> investigators and staff hold licenses are </w:t>
            </w:r>
            <w:r>
              <w:rPr>
                <w:b w:val="0"/>
                <w:sz w:val="20"/>
                <w:highlight w:val="yellow"/>
              </w:rPr>
              <w:t>[LIST STATES AND LICENSE HOLDERS]</w:t>
            </w:r>
            <w:r>
              <w:rPr>
                <w:b w:val="0"/>
                <w:sz w:val="20"/>
              </w:rPr>
              <w:t xml:space="preserve">. Participants located in other states [ARE SEEN ONLY IN PERSON / ARE ASSIGNED TO </w:t>
            </w:r>
            <w:r>
              <w:rPr>
                <w:b w:val="0"/>
                <w:sz w:val="20"/>
                <w:highlight w:val="yellow"/>
              </w:rPr>
              <w:t>[NAMED LICENSED INVESTIGATOR]</w:t>
            </w:r>
            <w:r>
              <w:rPr>
                <w:b w:val="0"/>
                <w:sz w:val="20"/>
              </w:rPr>
              <w:t>]. State-specific telehealth rules are recorded in Appendix A.</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Licensure follows the participant's location, not the network. An investigator from another member site may see a site's participant by telehealth only if licensed in the participant's state and added to that study at the participant's site (Sub-I on its Form FDA 1572 where required, and on its F-302-01). Network staff who travel across state lines for home visits need a license, or a Nurse Licensure Compact privilege, valid where the visit takes place. The Network Office may keep a licensure register by state (SOP-904); the CRC still checks it before each visit under section 5.4.6.</w:t>
            </w:r>
          </w:p>
        </w:tc>
      </w:tr>
    </w:tbl>
    <w:p>
      <w:pPr>
        <w:spacing w:after="0"/>
      </w:pPr>
    </w:p>
    <w:p>
      <w:pPr>
        <w:tabs>
          <w:tab w:pos="648" w:val="left"/>
        </w:tabs>
        <w:ind w:left="648" w:hanging="648"/>
      </w:pPr>
      <w:r>
        <w:rPr>
          <w:b/>
        </w:rPr>
        <w:t>5.4.7</w:t>
        <w:tab/>
      </w:r>
      <w:r>
        <w:rPr>
          <w:b w:val="0"/>
        </w:rPr>
        <w:t>If the participant reports a symptom or event during telehealth that needs urgent in-person assessment, the staff member directs the participant to emergency care or arranges an in-person visit as the protocol's safety plan describes, and the PI is notified the same day. Adverse events identified remotely are assessed and recorded under SOP-500 and SOP-501.</w:t>
      </w:r>
    </w:p>
    <w:p>
      <w:pPr>
        <w:pStyle w:val="Heading2"/>
      </w:pPr>
      <w:r>
        <w:t>5.5 Home health visits</w:t>
      </w:r>
    </w:p>
    <w:p>
      <w:pPr>
        <w:tabs>
          <w:tab w:pos="648" w:val="left"/>
        </w:tabs>
        <w:ind w:left="648" w:hanging="648"/>
      </w:pPr>
      <w:r>
        <w:rPr>
          <w:b/>
        </w:rPr>
        <w:t>5.5.1</w:t>
        <w:tab/>
      </w:r>
      <w:r>
        <w:rPr>
          <w:b w:val="0"/>
        </w:rPr>
        <w:t>Home visits are scheduled and confirmed with the participant in advance. The CRC sends the visit details (procedures, kits, IP if any, protocol instructions) to the site staff member or vendor.</w:t>
      </w:r>
    </w:p>
    <w:p>
      <w:pPr>
        <w:tabs>
          <w:tab w:pos="648" w:val="left"/>
        </w:tabs>
        <w:ind w:left="648" w:hanging="648"/>
      </w:pPr>
      <w:r>
        <w:rPr>
          <w:b/>
        </w:rPr>
        <w:t>5.5.2</w:t>
        <w:tab/>
      </w:r>
      <w:r>
        <w:rPr>
          <w:b w:val="0"/>
        </w:rPr>
        <w:t>The visiting nurse or staff member follows the protocol and laboratory manual, collects specimens and handles them under SOP-311, and documents the visit on the vendor's visit form or F-313-01, including date, start and end time, location, procedures performed, findings, any adverse events or concerns, and their name and signature.</w:t>
      </w:r>
    </w:p>
    <w:p>
      <w:pPr>
        <w:tabs>
          <w:tab w:pos="648" w:val="left"/>
        </w:tabs>
        <w:ind w:left="648" w:hanging="648"/>
      </w:pPr>
      <w:r>
        <w:rPr>
          <w:b/>
        </w:rPr>
        <w:t>5.5.3</w:t>
        <w:tab/>
      </w:r>
      <w:r>
        <w:rPr>
          <w:b w:val="0"/>
        </w:rPr>
        <w:t xml:space="preserve">Sponsor vendors return visit documentation to the site within </w:t>
      </w:r>
      <w:r>
        <w:rPr>
          <w:b w:val="0"/>
          <w:highlight w:val="green"/>
        </w:rPr>
        <w:t>[DEFAULT: 2 business days of the visit, or the vendor agreement timeline if shorter]</w:t>
      </w:r>
      <w:r>
        <w:rPr>
          <w:b w:val="0"/>
        </w:rPr>
        <w:t>. The CRC chases missing reports and records the date received.</w:t>
      </w:r>
    </w:p>
    <w:p>
      <w:pPr>
        <w:tabs>
          <w:tab w:pos="648" w:val="left"/>
        </w:tabs>
        <w:ind w:left="648" w:hanging="648"/>
      </w:pPr>
      <w:r>
        <w:rPr>
          <w:b/>
        </w:rPr>
        <w:t>5.5.4</w:t>
        <w:tab/>
      </w:r>
      <w:r>
        <w:rPr>
          <w:b w:val="0"/>
        </w:rPr>
        <w:t>The PI or delegated Sub-I reviews each home visit report, assesses abnormal findings and adverse events, and signs and dates the review. Vendor visit reports are source records and are filed in the participant's research record.</w:t>
      </w:r>
    </w:p>
    <w:p>
      <w:pPr>
        <w:tabs>
          <w:tab w:pos="648" w:val="left"/>
        </w:tabs>
        <w:ind w:left="648" w:hanging="648"/>
      </w:pPr>
      <w:r>
        <w:rPr>
          <w:b/>
        </w:rPr>
        <w:t>5.5.5</w:t>
        <w:tab/>
      </w:r>
      <w:r>
        <w:rPr>
          <w:b w:val="0"/>
        </w:rPr>
        <w:t>Home visit staff carry the minimum participant information needed, in a locked bag or encrypted device, and do not leave trial documents at the participant's home other than participant materials approved by the IRB.</w:t>
      </w:r>
    </w:p>
    <w:p>
      <w:pPr>
        <w:pStyle w:val="Heading2"/>
      </w:pPr>
      <w:r>
        <w:t>5.6 Direct-to-participant IP shipment</w:t>
      </w:r>
    </w:p>
    <w:p>
      <w:pPr>
        <w:tabs>
          <w:tab w:pos="648" w:val="left"/>
        </w:tabs>
        <w:ind w:left="648" w:hanging="648"/>
      </w:pPr>
      <w:r>
        <w:rPr>
          <w:b/>
        </w:rPr>
        <w:t>5.6.1</w:t>
        <w:tab/>
      </w:r>
      <w:r>
        <w:rPr>
          <w:b w:val="0"/>
        </w:rPr>
        <w:t>DtP shipment is used only when the protocol and sponsor permit it for that IP. Products with special handling or narrow storage conditions may not be suitable; the site follows the sponsor's determination.</w:t>
      </w:r>
    </w:p>
    <w:p>
      <w:pPr>
        <w:tabs>
          <w:tab w:pos="648" w:val="left"/>
        </w:tabs>
        <w:ind w:left="648" w:hanging="648"/>
      </w:pPr>
      <w:r>
        <w:rPr>
          <w:b/>
        </w:rPr>
        <w:t>5.6.2</w:t>
        <w:tab/>
      </w:r>
      <w:r>
        <w:rPr>
          <w:b w:val="0"/>
        </w:rPr>
        <w:t>The PI remains responsible for supervising the supply of IP. Before each shipment, an investigator (the PI or a Sub-I listed for the study) confirms the participant is eligible to receive that IP at that visit and records it in source. The PI or delegated IP Manager then authorizes release (by signature in the sponsor's distribution system or on the shipment request) after confirming the shipment matches the prescription or IRT assignment.</w:t>
      </w:r>
    </w:p>
    <w:p>
      <w:pPr>
        <w:tabs>
          <w:tab w:pos="648" w:val="left"/>
        </w:tabs>
        <w:ind w:left="648" w:hanging="648"/>
      </w:pPr>
      <w:r>
        <w:rPr>
          <w:b/>
        </w:rPr>
        <w:t>5.6.3</w:t>
        <w:tab/>
      </w:r>
      <w:r>
        <w:rPr>
          <w:b w:val="0"/>
        </w:rPr>
        <w:t>Shipments use the sponsor-approved courier or distributor and temperature-controlled packaging as specified. Shipment and temperature monitoring records are kept with IP accountability records (SOP-304, F-304-01).</w:t>
      </w:r>
    </w:p>
    <w:p>
      <w:pPr>
        <w:tabs>
          <w:tab w:pos="648" w:val="left"/>
        </w:tabs>
        <w:ind w:left="648" w:hanging="648"/>
      </w:pPr>
      <w:r>
        <w:rPr>
          <w:b/>
        </w:rPr>
        <w:t>5.6.4</w:t>
        <w:tab/>
      </w:r>
      <w:r>
        <w:rPr>
          <w:b w:val="0"/>
        </w:rPr>
        <w:t>The CRC confirms that the participant received the IP intact and within temperature, using the courier's proof of delivery and a contact with the participant, and records the date of receipt. Temperature excursions in transit are handled under SOP-304.</w:t>
      </w:r>
    </w:p>
    <w:p>
      <w:pPr>
        <w:tabs>
          <w:tab w:pos="648" w:val="left"/>
        </w:tabs>
        <w:ind w:left="648" w:hanging="648"/>
      </w:pPr>
      <w:r>
        <w:rPr>
          <w:b/>
        </w:rPr>
        <w:t>5.6.5</w:t>
        <w:tab/>
      </w:r>
      <w:r>
        <w:rPr>
          <w:b w:val="0"/>
        </w:rPr>
        <w:t>The CRC confirms that the participant has the IP instructions, knows how to store and take or use the IP, and knows how to return unused IP and packaging.</w:t>
      </w:r>
    </w:p>
    <w:p>
      <w:pPr>
        <w:tabs>
          <w:tab w:pos="648" w:val="left"/>
        </w:tabs>
        <w:ind w:left="648" w:hanging="648"/>
      </w:pPr>
      <w:r>
        <w:rPr>
          <w:b/>
        </w:rPr>
        <w:t>5.6.6</w:t>
        <w:tab/>
      </w:r>
      <w:r>
        <w:rPr>
          <w:b w:val="0"/>
        </w:rPr>
        <w:t>Returns and destruction of unused IP are arranged and documented as the sponsor directs and reconciled in F-304-01.</w:t>
      </w:r>
    </w:p>
    <w:p>
      <w:pPr>
        <w:tabs>
          <w:tab w:pos="648" w:val="left"/>
        </w:tabs>
        <w:ind w:left="648" w:hanging="648"/>
      </w:pPr>
      <w:r>
        <w:rPr>
          <w:b/>
        </w:rPr>
        <w:t>5.6.7</w:t>
        <w:tab/>
      </w:r>
      <w:r>
        <w:rPr>
          <w:b w:val="0"/>
        </w:rPr>
        <w:t>Shipping IP across state lines or into other countries may be subject to state pharmacy law and the sponsor's licensed distributor arrangements. The site ships only through the sponsor's approved channel.</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Direct-to-participant shipment from a network central pharmacy follows the network rules in SOP-304: sponsor approval, the central location listed in the site's study records, and release authorized by the participant's site PI or an IP Manager delegated on that site's log. Shipping into another state may require a nonresident pharmacy license or permit for the shipping location under that state's law; record the requirement in Appendix A.</w:t>
            </w:r>
          </w:p>
        </w:tc>
      </w:tr>
    </w:tbl>
    <w:p>
      <w:pPr>
        <w:spacing w:after="0"/>
      </w:pPr>
    </w:p>
    <w:p>
      <w:pPr>
        <w:pStyle w:val="Heading2"/>
      </w:pPr>
      <w:r>
        <w:t>5.7 Digital health technologies</w:t>
      </w:r>
    </w:p>
    <w:p>
      <w:pPr>
        <w:tabs>
          <w:tab w:pos="648" w:val="left"/>
        </w:tabs>
        <w:ind w:left="648" w:hanging="648"/>
      </w:pPr>
      <w:r>
        <w:rPr>
          <w:b/>
        </w:rPr>
        <w:t>5.7.1</w:t>
        <w:tab/>
      </w:r>
      <w:r>
        <w:rPr>
          <w:b w:val="0"/>
        </w:rPr>
        <w:t>The CRC issues DHTs only as the protocol specifies, records the device serial number against the participant ID (F-312-01 or the sponsor device log), trains the participant on use, charging, syncing and what to do if the device fails, and records the training.</w:t>
      </w:r>
    </w:p>
    <w:p>
      <w:pPr>
        <w:tabs>
          <w:tab w:pos="648" w:val="left"/>
        </w:tabs>
        <w:ind w:left="648" w:hanging="648"/>
      </w:pPr>
      <w:r>
        <w:rPr>
          <w:b/>
        </w:rPr>
        <w:t>5.7.2</w:t>
        <w:tab/>
      </w:r>
      <w:r>
        <w:rPr>
          <w:b w:val="0"/>
        </w:rPr>
        <w:t>The CRC reviews DHT compliance and data dashboards at the frequency the protocol or sponsor sets and follows up gaps with the participant on F-309-01.</w:t>
      </w:r>
    </w:p>
    <w:p>
      <w:pPr>
        <w:tabs>
          <w:tab w:pos="648" w:val="left"/>
        </w:tabs>
        <w:ind w:left="648" w:hanging="648"/>
      </w:pPr>
      <w:r>
        <w:rPr>
          <w:b/>
        </w:rPr>
        <w:t>5.7.3</w:t>
        <w:tab/>
      </w:r>
      <w:r>
        <w:rPr>
          <w:b w:val="0"/>
        </w:rPr>
        <w:t>Alerts and abnormal values from DHTs are handled as the protocol's safety monitoring plan describes. If the protocol requires the site to act on alerts, the Lead CRC assigns who reviews them and how often, including outside business hours if applicable.</w:t>
      </w:r>
    </w:p>
    <w:p>
      <w:pPr>
        <w:tabs>
          <w:tab w:pos="648" w:val="left"/>
        </w:tabs>
        <w:ind w:left="648" w:hanging="648"/>
      </w:pPr>
      <w:r>
        <w:rPr>
          <w:b/>
        </w:rPr>
        <w:t>5.7.4</w:t>
        <w:tab/>
      </w:r>
      <w:r>
        <w:rPr>
          <w:b w:val="0"/>
        </w:rPr>
        <w:t>DHTs supplied by the sponsor are the sponsor's validated systems. Site staff do not change device settings unless instructed. Device problems are reported to the sponsor help desk.</w:t>
      </w:r>
    </w:p>
    <w:p>
      <w:pPr>
        <w:tabs>
          <w:tab w:pos="648" w:val="left"/>
        </w:tabs>
        <w:ind w:left="648" w:hanging="648"/>
      </w:pPr>
      <w:r>
        <w:rPr>
          <w:b/>
        </w:rPr>
        <w:t>5.7.5</w:t>
        <w:tab/>
      </w:r>
      <w:r>
        <w:rPr>
          <w:b w:val="0"/>
        </w:rPr>
        <w:t>Where participants use their own phones or devices, staff do not install non-study apps or access personal data on the device.</w:t>
      </w:r>
    </w:p>
    <w:p>
      <w:pPr>
        <w:pStyle w:val="Heading2"/>
      </w:pPr>
      <w:r>
        <w:t>5.8 Documentation on F-313-01</w:t>
      </w:r>
    </w:p>
    <w:p>
      <w:pPr>
        <w:tabs>
          <w:tab w:pos="648" w:val="left"/>
        </w:tabs>
        <w:ind w:left="648" w:hanging="648"/>
      </w:pPr>
      <w:r>
        <w:rPr>
          <w:b/>
        </w:rPr>
        <w:t>5.8.1</w:t>
        <w:tab/>
      </w:r>
      <w:r>
        <w:rPr>
          <w:b w:val="0"/>
        </w:rPr>
        <w:t>For every remote or home encounter, the person conducting or arranging it completes F-313-01 (or an equivalent eSource template) recording:</w:t>
      </w:r>
    </w:p>
    <w:p>
      <w:pPr>
        <w:pStyle w:val="ListBullet"/>
        <w:spacing w:after="40"/>
        <w:ind w:left="1008" w:hanging="259"/>
      </w:pPr>
      <w:r>
        <w:rPr>
          <w:b w:val="0"/>
        </w:rPr>
        <w:t>participant ID, visit name, date, start and end time</w:t>
      </w:r>
    </w:p>
    <w:p>
      <w:pPr>
        <w:pStyle w:val="ListBullet"/>
        <w:spacing w:after="40"/>
        <w:ind w:left="1008" w:hanging="259"/>
      </w:pPr>
      <w:r>
        <w:rPr>
          <w:b w:val="0"/>
        </w:rPr>
        <w:t>visit type (telehealth video, telephone, site staff home visit, vendor home visit, local HCP visit)</w:t>
      </w:r>
    </w:p>
    <w:p>
      <w:pPr>
        <w:pStyle w:val="ListBullet"/>
        <w:spacing w:after="40"/>
        <w:ind w:left="1008" w:hanging="259"/>
      </w:pPr>
      <w:r>
        <w:rPr>
          <w:b w:val="0"/>
        </w:rPr>
        <w:t>participant location (address type and state) and, for telehealth, the location of the staff member</w:t>
      </w:r>
    </w:p>
    <w:p>
      <w:pPr>
        <w:pStyle w:val="ListBullet"/>
        <w:spacing w:after="40"/>
        <w:ind w:left="1008" w:hanging="259"/>
      </w:pPr>
      <w:r>
        <w:rPr>
          <w:b w:val="0"/>
        </w:rPr>
        <w:t>name and role of the person conducting the visit, and for local HCPs the HCP's name and facility</w:t>
      </w:r>
    </w:p>
    <w:p>
      <w:pPr>
        <w:pStyle w:val="ListBullet"/>
        <w:spacing w:after="40"/>
        <w:ind w:left="1008" w:hanging="259"/>
      </w:pPr>
      <w:r>
        <w:rPr>
          <w:b w:val="0"/>
        </w:rPr>
        <w:t>identity verification method</w:t>
      </w:r>
    </w:p>
    <w:p>
      <w:pPr>
        <w:pStyle w:val="ListBullet"/>
        <w:spacing w:after="40"/>
        <w:ind w:left="1008" w:hanging="259"/>
      </w:pPr>
      <w:r>
        <w:rPr>
          <w:b w:val="0"/>
        </w:rPr>
        <w:t>activities performed, findings, adverse events or concerns raised, and actions taken</w:t>
      </w:r>
    </w:p>
    <w:p>
      <w:pPr>
        <w:pStyle w:val="ListBullet"/>
        <w:spacing w:after="40"/>
        <w:ind w:left="1008" w:hanging="259"/>
      </w:pPr>
      <w:r>
        <w:rPr>
          <w:b w:val="0"/>
        </w:rPr>
        <w:t>privacy confirmation (participant in a private location) for telehealth</w:t>
      </w:r>
    </w:p>
    <w:p>
      <w:pPr>
        <w:pStyle w:val="ListBullet"/>
        <w:spacing w:after="40"/>
        <w:ind w:left="1008" w:hanging="259"/>
      </w:pPr>
      <w:r>
        <w:rPr>
          <w:b w:val="0"/>
        </w:rPr>
        <w:t>documents received and date reviewed by the PI or Sub-I</w:t>
      </w:r>
    </w:p>
    <w:p>
      <w:pPr>
        <w:tabs>
          <w:tab w:pos="648" w:val="left"/>
        </w:tabs>
        <w:ind w:left="648" w:hanging="648"/>
      </w:pPr>
      <w:r>
        <w:rPr>
          <w:b/>
        </w:rPr>
        <w:t>5.8.2</w:t>
        <w:tab/>
      </w:r>
      <w:r>
        <w:rPr>
          <w:b w:val="0"/>
        </w:rPr>
        <w:t>F-313-01 and attached reports are source records under SOP-306.</w:t>
      </w:r>
    </w:p>
    <w:p>
      <w:pPr>
        <w:pStyle w:val="Heading2"/>
      </w:pPr>
      <w:r>
        <w:t>5.9 Privacy</w:t>
      </w:r>
    </w:p>
    <w:p>
      <w:pPr>
        <w:tabs>
          <w:tab w:pos="648" w:val="left"/>
        </w:tabs>
        <w:ind w:left="648" w:hanging="648"/>
      </w:pPr>
      <w:r>
        <w:rPr>
          <w:b/>
        </w:rPr>
        <w:t>5.9.1</w:t>
        <w:tab/>
      </w:r>
      <w:r>
        <w:rPr>
          <w:b w:val="0"/>
        </w:rPr>
        <w:t>Remote activities follow SOP-400. Specific points:</w:t>
      </w:r>
    </w:p>
    <w:p>
      <w:pPr>
        <w:pStyle w:val="ListBullet"/>
        <w:spacing w:after="40"/>
        <w:ind w:left="1008" w:hanging="259"/>
      </w:pPr>
      <w:r>
        <w:rPr>
          <w:b w:val="0"/>
        </w:rPr>
        <w:t>participant data are sent to vendors and local HCPs only as needed for the activity and only as the consent form and HIPAA authorization permit</w:t>
      </w:r>
    </w:p>
    <w:p>
      <w:pPr>
        <w:pStyle w:val="ListBullet"/>
        <w:spacing w:after="40"/>
        <w:ind w:left="1008" w:hanging="259"/>
      </w:pPr>
      <w:r>
        <w:rPr>
          <w:b w:val="0"/>
        </w:rPr>
        <w:t>communication with local HCPs and vendors uses secure email, secure portal or fax to verified numbers</w:t>
      </w:r>
    </w:p>
    <w:p>
      <w:pPr>
        <w:pStyle w:val="ListBullet"/>
        <w:spacing w:after="40"/>
        <w:ind w:left="1008" w:hanging="259"/>
      </w:pPr>
      <w:r>
        <w:rPr>
          <w:b w:val="0"/>
        </w:rPr>
        <w:t>staff working remotely use site-managed devices and do not store participant data on personal devices</w:t>
      </w:r>
    </w:p>
    <w:p>
      <w:pPr>
        <w:pStyle w:val="ListBullet"/>
        <w:spacing w:after="40"/>
        <w:ind w:left="1008" w:hanging="259"/>
      </w:pPr>
      <w:r>
        <w:rPr>
          <w:b w:val="0"/>
        </w:rPr>
        <w:t>participants may choose a location outside the home for visits if they share a residence and want privacy</w:t>
      </w:r>
    </w:p>
    <w:p>
      <w:pPr>
        <w:tabs>
          <w:tab w:pos="648" w:val="left"/>
        </w:tabs>
        <w:ind w:left="648" w:hanging="648"/>
      </w:pPr>
      <w:r>
        <w:rPr>
          <w:b/>
        </w:rPr>
        <w:t>5.9.2</w:t>
        <w:tab/>
      </w:r>
      <w:r>
        <w:rPr>
          <w:b w:val="0"/>
        </w:rPr>
        <w:t>Lost devices, misdirected shipments with participant information, or an unauthorized person present at a telehealth visit are privacy incidents reported on F-400-01.</w:t>
      </w:r>
    </w:p>
    <w:p>
      <w:pPr>
        <w:pStyle w:val="Heading1"/>
      </w:pPr>
      <w:r>
        <w:t>6. Related Forms and SOPs</w:t>
      </w:r>
    </w:p>
    <w:p>
      <w:pPr>
        <w:pStyle w:val="ListBullet"/>
        <w:spacing w:after="40"/>
        <w:ind w:left="360" w:hanging="259"/>
      </w:pPr>
      <w:r>
        <w:rPr>
          <w:b w:val="0"/>
        </w:rPr>
        <w:t>F-313-01 Remote Visit and Home Health Visit Record</w:t>
      </w:r>
    </w:p>
    <w:p>
      <w:pPr>
        <w:pStyle w:val="ListBullet"/>
        <w:spacing w:after="40"/>
        <w:ind w:left="360" w:hanging="259"/>
      </w:pPr>
      <w:r>
        <w:rPr>
          <w:b w:val="0"/>
        </w:rPr>
        <w:t>F-302-01 Delegation of Authority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F-309-01 Participant Contact and Retention Log</w:t>
      </w:r>
    </w:p>
    <w:p>
      <w:pPr>
        <w:pStyle w:val="ListBullet"/>
        <w:spacing w:after="40"/>
        <w:ind w:left="360" w:hanging="259"/>
      </w:pPr>
      <w:r>
        <w:rPr>
          <w:b w:val="0"/>
        </w:rPr>
        <w:t>F-312-01 Equipment Inventory and Calibration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F-103-01 Staff Training Log</w:t>
      </w:r>
    </w:p>
    <w:p>
      <w:pPr>
        <w:pStyle w:val="ListBullet"/>
        <w:spacing w:after="40"/>
        <w:ind w:left="360" w:hanging="259"/>
      </w:pPr>
      <w:r>
        <w:rPr>
          <w:b w:val="0"/>
        </w:rPr>
        <w:t>F-400-01 Privacy Incident Report</w:t>
      </w:r>
    </w:p>
    <w:p>
      <w:pPr>
        <w:pStyle w:val="ListBullet"/>
        <w:spacing w:after="40"/>
        <w:ind w:left="360" w:hanging="259"/>
      </w:pPr>
      <w:r>
        <w:rPr>
          <w:b w:val="0"/>
        </w:rPr>
        <w:t>F-905-01 Cross-Entity Data Flow Register (Model N only)</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SOP-105 Oversight of Service Providers and Vendors</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r>
        <w:trPr>
          <w:cantSplit w:val="true"/>
        </w:trPr>
        <w:tc>
          <w:tcPr>
            <w:tcW w:type="dxa" w:w="2701"/>
          </w:tcPr>
          <w:p>
            <w:pPr>
              <w:spacing w:after="0"/>
            </w:pPr>
            <w:r>
              <w:rPr>
                <w:b w:val="0"/>
                <w:sz w:val="19"/>
              </w:rPr>
              <w:t>FDA guidance (Dec 2023)</w:t>
            </w:r>
          </w:p>
        </w:tc>
        <w:tc>
          <w:tcPr>
            <w:tcW w:type="dxa" w:w="6946"/>
          </w:tcPr>
          <w:p>
            <w:pPr>
              <w:spacing w:after="0"/>
            </w:pPr>
            <w:r>
              <w:rPr>
                <w:b w:val="0"/>
                <w:sz w:val="19"/>
              </w:rPr>
              <w:t>Digital Health Technologies for Remote Data Acquisition in Clinical Investigations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Responsibilities (delegation and oversight)</w:t>
            </w:r>
          </w:p>
        </w:tc>
      </w:tr>
      <w:tr>
        <w:trPr>
          <w:cantSplit w:val="true"/>
        </w:trPr>
        <w:tc>
          <w:tcPr>
            <w:tcW w:type="dxa" w:w="2701"/>
          </w:tcPr>
          <w:p>
            <w:pPr>
              <w:spacing w:after="0"/>
            </w:pPr>
            <w:r>
              <w:rPr>
                <w:b w:val="0"/>
                <w:sz w:val="19"/>
              </w:rPr>
              <w:t>ICH E6(R3) Annex 1, 2.10.8</w:t>
            </w:r>
          </w:p>
        </w:tc>
        <w:tc>
          <w:tcPr>
            <w:tcW w:type="dxa" w:w="6946"/>
          </w:tcPr>
          <w:p>
            <w:pPr>
              <w:spacing w:after="0"/>
            </w:pPr>
            <w:r>
              <w:rPr>
                <w:b w:val="0"/>
                <w:sz w:val="19"/>
              </w:rPr>
              <w:t>IP shipped to the participant's location</w:t>
            </w:r>
          </w:p>
        </w:tc>
      </w:tr>
      <w:tr>
        <w:trPr>
          <w:cantSplit w:val="true"/>
        </w:trPr>
        <w:tc>
          <w:tcPr>
            <w:tcW w:type="dxa" w:w="2701"/>
          </w:tcPr>
          <w:p>
            <w:pPr>
              <w:spacing w:after="0"/>
            </w:pPr>
            <w:r>
              <w:rPr>
                <w:b w:val="0"/>
                <w:sz w:val="19"/>
              </w:rPr>
              <w:t>ICH E6(R3) Annex 1, 2.12.10</w:t>
            </w:r>
          </w:p>
        </w:tc>
        <w:tc>
          <w:tcPr>
            <w:tcW w:type="dxa" w:w="6946"/>
          </w:tcPr>
          <w:p>
            <w:pPr>
              <w:spacing w:after="0"/>
            </w:pPr>
            <w:r>
              <w:rPr>
                <w:b w:val="0"/>
                <w:sz w:val="19"/>
              </w:rPr>
              <w:t>Computerised systems at the investigator site, including equipment provided to participants</w:t>
            </w:r>
          </w:p>
        </w:tc>
      </w:tr>
      <w:tr>
        <w:trPr>
          <w:cantSplit w:val="true"/>
        </w:trPr>
        <w:tc>
          <w:tcPr>
            <w:tcW w:type="dxa" w:w="2701"/>
          </w:tcPr>
          <w:p>
            <w:pPr>
              <w:spacing w:after="0"/>
            </w:pPr>
            <w:r>
              <w:rPr>
                <w:b w:val="0"/>
                <w:sz w:val="19"/>
              </w:rPr>
              <w:t>ICH E6(R3) Annex 2 (ICH Step 4, June 2026)</w:t>
            </w:r>
          </w:p>
        </w:tc>
        <w:tc>
          <w:tcPr>
            <w:tcW w:type="dxa" w:w="6946"/>
          </w:tcPr>
          <w:p>
            <w:pPr>
              <w:spacing w:after="0"/>
            </w:pPr>
            <w:r>
              <w:rPr>
                <w:b w:val="0"/>
                <w:sz w:val="19"/>
              </w:rPr>
              <w:t>Decentralised elements, pragmatic trials and real-world data</w:t>
            </w:r>
          </w:p>
        </w:tc>
      </w:tr>
      <w:tr>
        <w:trPr>
          <w:cantSplit w:val="true"/>
        </w:trPr>
        <w:tc>
          <w:tcPr>
            <w:tcW w:type="dxa" w:w="2701"/>
          </w:tcPr>
          <w:p>
            <w:pPr>
              <w:spacing w:after="0"/>
            </w:pPr>
            <w:r>
              <w:rPr>
                <w:b w:val="0"/>
                <w:sz w:val="19"/>
              </w:rPr>
              <w:t>21 CFR 312.53(c) and 312.60 to 312.62</w:t>
            </w:r>
          </w:p>
        </w:tc>
        <w:tc>
          <w:tcPr>
            <w:tcW w:type="dxa" w:w="6946"/>
          </w:tcPr>
          <w:p>
            <w:pPr>
              <w:spacing w:after="0"/>
            </w:pPr>
            <w:r>
              <w:rPr>
                <w:b w:val="0"/>
                <w:sz w:val="19"/>
              </w:rPr>
              <w:t>Investigator statement (Form FDA 1572), general responsibilities, IP control, records</w:t>
            </w:r>
          </w:p>
        </w:tc>
      </w:tr>
      <w:tr>
        <w:trPr>
          <w:cantSplit w:val="true"/>
        </w:trPr>
        <w:tc>
          <w:tcPr>
            <w:tcW w:type="dxa" w:w="2701"/>
          </w:tcPr>
          <w:p>
            <w:pPr>
              <w:spacing w:after="0"/>
            </w:pPr>
            <w:r>
              <w:rPr>
                <w:b w:val="0"/>
                <w:sz w:val="19"/>
              </w:rPr>
              <w:t>21 CFR 812.100, 812.110 and 812.140</w:t>
            </w:r>
          </w:p>
        </w:tc>
        <w:tc>
          <w:tcPr>
            <w:tcW w:type="dxa" w:w="6946"/>
          </w:tcPr>
          <w:p>
            <w:pPr>
              <w:spacing w:after="0"/>
            </w:pPr>
            <w:r>
              <w:rPr>
                <w:b w:val="0"/>
                <w:sz w:val="19"/>
              </w:rPr>
              <w:t>Device investigator responsibilities and records</w:t>
            </w:r>
          </w:p>
        </w:tc>
      </w:tr>
      <w:tr>
        <w:trPr>
          <w:cantSplit w:val="true"/>
        </w:trPr>
        <w:tc>
          <w:tcPr>
            <w:tcW w:type="dxa" w:w="2701"/>
          </w:tcPr>
          <w:p>
            <w:pPr>
              <w:spacing w:after="0"/>
            </w:pPr>
            <w:r>
              <w:rPr>
                <w:b w:val="0"/>
                <w:sz w:val="19"/>
              </w:rPr>
              <w:t>21 CFR Part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45 CFR 164 Subparts C and E</w:t>
            </w:r>
          </w:p>
        </w:tc>
        <w:tc>
          <w:tcPr>
            <w:tcW w:type="dxa" w:w="6946"/>
          </w:tcPr>
          <w:p>
            <w:pPr>
              <w:spacing w:after="0"/>
            </w:pPr>
            <w:r>
              <w:rPr>
                <w:b w:val="0"/>
                <w:sz w:val="19"/>
              </w:rPr>
              <w:t>HIPAA Security and Privacy Rules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SOP-313 Decentralized Trial Elements (Remote Visits, Home Health, Direct-to-Participant IP)</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SOP-313 Decentralized Trial Elements (Remote Visits, Home Health, Direct-to-Participant IP)</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