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SOP-301</w:t>
      </w:r>
    </w:p>
    <w:p>
      <w:pPr>
        <w:pStyle w:val="Title"/>
        <w:pBdr>
          <w:bottom w:val="single" w:sz="12" w:space="1" w:color="1F3864"/>
        </w:pBdr>
        <w:spacing w:after="120"/>
      </w:pPr>
      <w:r>
        <w:rPr>
          <w:b w:val="0"/>
          <w:color w:val="1F3864"/>
          <w:sz w:val="36"/>
        </w:rPr>
        <w:t>Informed Consent Process and Documentation</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obtains, documents and maintains the informed consent of trial participants. It covers who may obtain consent, control of consent versions, the consent discussion, consent by a legally authorized representative (LAR), parental permission and assent for minors, consent of people who do not read or speak English, remote consent and electronic consent (eConsent), signatures and dates, the HIPAA authorization, re-consent, ongoing consent, consent errors, and the limited situations in which the IRB may waive or alter consent.</w:t>
      </w:r>
    </w:p>
    <w:p>
      <w:pPr>
        <w:pStyle w:val="Heading1"/>
      </w:pPr>
      <w:r>
        <w:t>2. Scope</w:t>
      </w:r>
    </w:p>
    <w:p>
      <w:pPr/>
      <w:r>
        <w:rPr>
          <w:b w:val="0"/>
        </w:rPr>
        <w:t xml:space="preserve">This SOP applies to every study at </w:t>
      </w:r>
      <w:r>
        <w:rPr>
          <w:b w:val="0"/>
          <w:highlight w:val="yellow"/>
        </w:rPr>
        <w:t>[SITE NAME]</w:t>
      </w:r>
      <w:r>
        <w:rPr>
          <w:b w:val="0"/>
        </w:rPr>
        <w:t xml:space="preserve"> that requires informed consent, including consent for pre-screening procedures, optional sub-studies, specimen banking and future-use consents. It applies to all staff who obtain consent or handle consent records, at every site location and for remote consent.</w:t>
      </w:r>
    </w:p>
    <w:p>
      <w:pPr/>
      <w:r>
        <w:rPr>
          <w:b w:val="0"/>
        </w:rPr>
        <w:t>Determining who may legally act as an LAR, the age of majority, and any state-specific consent requirements depends on state law. This SOP does not list state rules. The site records them in Appendix A State Law Worksheet, and the IRB's determinations for each study govern.</w:t>
      </w:r>
    </w:p>
    <w:p>
      <w:pPr/>
      <w:r>
        <w:rPr>
          <w:b w:val="0"/>
        </w:rPr>
        <w:t xml:space="preserve">Consent for trials that are federally funded is also subject to 45 CFR 46 (Common Rule). Most industry-sponsored trials at </w:t>
      </w:r>
      <w:r>
        <w:rPr>
          <w:b w:val="0"/>
          <w:highlight w:val="yellow"/>
        </w:rPr>
        <w:t>[SITE NAME]</w:t>
      </w:r>
      <w:r>
        <w:rPr>
          <w:b w:val="0"/>
        </w:rPr>
        <w:t xml:space="preserve"> are subject to FDA regulations only. Withdrawal of consent is in SOP-309.</w:t>
      </w:r>
    </w:p>
    <w:p>
      <w:pPr/>
      <w:r>
        <w:rPr>
          <w:b w:val="0"/>
        </w:rPr>
        <w:t>Where the protocol, sponsor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Is responsible for consent of every participant at the site. Decides which staff may obtain consent and delegates the task on F-302-01. Answers medical questions or makes a Sub-I available to answer them. Assesses decision-making capacity when it is in doubt. Reviews consent errors and decides corrective action.</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Obtains consent when delegated. Answers medical questions. Assesses capacity when delegated by the PI.</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Submits consent materials and revisions to the IRB (SOP-203). Maintains F-301-02 Consent Form Version Control Log. Releases new versions for use and withdraws superseded versions. Files IRB-approved consent materials in the ISF.</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Obtains consent when delegated. Checks the version before each consent. Completes F-301-01 Informed Consent Process Note. Gives the participant a copy. Files the signed form. Tracks re-consent.</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Sets up the consent QC check (section 5.11). Trends consent errors. Opens CAPA when errors recur (SOP-703).</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Do not perform any study procedure on a person whose consent is not documented. Report suspected consent errors to the PI the same day they are found.</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Informed consent</w:t>
            </w:r>
          </w:p>
        </w:tc>
        <w:tc>
          <w:tcPr>
            <w:tcW w:type="dxa" w:w="6946"/>
          </w:tcPr>
          <w:p>
            <w:pPr>
              <w:spacing w:after="0"/>
            </w:pPr>
            <w:r>
              <w:rPr>
                <w:b w:val="0"/>
                <w:sz w:val="19"/>
              </w:rPr>
              <w:t>A process by which a participant voluntarily confirms willingness to take part in a trial after being informed of all aspects relevant to the decision. Documented by a signed and dated consent form, unless the IRB has waived documentation.</w:t>
            </w:r>
          </w:p>
        </w:tc>
      </w:tr>
      <w:tr>
        <w:trPr>
          <w:cantSplit w:val="true"/>
        </w:trPr>
        <w:tc>
          <w:tcPr>
            <w:tcW w:type="dxa" w:w="2701"/>
          </w:tcPr>
          <w:p>
            <w:pPr>
              <w:spacing w:after="0"/>
            </w:pPr>
            <w:r>
              <w:rPr>
                <w:b w:val="0"/>
                <w:sz w:val="19"/>
              </w:rPr>
              <w:t>Consent materials</w:t>
            </w:r>
          </w:p>
        </w:tc>
        <w:tc>
          <w:tcPr>
            <w:tcW w:type="dxa" w:w="6946"/>
          </w:tcPr>
          <w:p>
            <w:pPr>
              <w:spacing w:after="0"/>
            </w:pPr>
            <w:r>
              <w:rPr>
                <w:b w:val="0"/>
                <w:sz w:val="19"/>
              </w:rPr>
              <w:t>The IRB-approved consent form, any assent form, short form and written summary, HIPAA authorization, and any other information given to participants as part of consent (for example videos or eConsent screens).</w:t>
            </w:r>
          </w:p>
        </w:tc>
      </w:tr>
      <w:tr>
        <w:trPr>
          <w:cantSplit w:val="true"/>
        </w:trPr>
        <w:tc>
          <w:tcPr>
            <w:tcW w:type="dxa" w:w="2701"/>
          </w:tcPr>
          <w:p>
            <w:pPr>
              <w:spacing w:after="0"/>
            </w:pPr>
            <w:r>
              <w:rPr>
                <w:b w:val="0"/>
                <w:sz w:val="19"/>
              </w:rPr>
              <w:t>Legally authorized representative (LAR)</w:t>
            </w:r>
          </w:p>
        </w:tc>
        <w:tc>
          <w:tcPr>
            <w:tcW w:type="dxa" w:w="6946"/>
          </w:tcPr>
          <w:p>
            <w:pPr>
              <w:spacing w:after="0"/>
            </w:pPr>
            <w:r>
              <w:rPr>
                <w:b w:val="0"/>
                <w:sz w:val="19"/>
              </w:rPr>
              <w:t>An individual or judicial or other body authorized under applicable law to consent on behalf of a prospective participant to the participant's participation in the research (21 CFR 50.3(l)). ICH E6(R3) uses the term legally acceptable representative.</w:t>
            </w:r>
          </w:p>
        </w:tc>
      </w:tr>
      <w:tr>
        <w:trPr>
          <w:cantSplit w:val="true"/>
        </w:trPr>
        <w:tc>
          <w:tcPr>
            <w:tcW w:type="dxa" w:w="2701"/>
          </w:tcPr>
          <w:p>
            <w:pPr>
              <w:spacing w:after="0"/>
            </w:pPr>
            <w:r>
              <w:rPr>
                <w:b w:val="0"/>
                <w:sz w:val="19"/>
              </w:rPr>
              <w:t>Children</w:t>
            </w:r>
          </w:p>
        </w:tc>
        <w:tc>
          <w:tcPr>
            <w:tcW w:type="dxa" w:w="6946"/>
          </w:tcPr>
          <w:p>
            <w:pPr>
              <w:spacing w:after="0"/>
            </w:pPr>
            <w:r>
              <w:rPr>
                <w:b w:val="0"/>
                <w:sz w:val="19"/>
              </w:rPr>
              <w:t>Persons who have not reached the legal age for consent to the treatments or procedures involved in the trial under the law of the jurisdiction where the trial is conducted (21 CFR 50.3(o)). Age of majority is recorded in Appendix A.</w:t>
            </w:r>
          </w:p>
        </w:tc>
      </w:tr>
      <w:tr>
        <w:trPr>
          <w:cantSplit w:val="true"/>
        </w:trPr>
        <w:tc>
          <w:tcPr>
            <w:tcW w:type="dxa" w:w="2701"/>
          </w:tcPr>
          <w:p>
            <w:pPr>
              <w:spacing w:after="0"/>
            </w:pPr>
            <w:r>
              <w:rPr>
                <w:b w:val="0"/>
                <w:sz w:val="19"/>
              </w:rPr>
              <w:t>Assent</w:t>
            </w:r>
          </w:p>
        </w:tc>
        <w:tc>
          <w:tcPr>
            <w:tcW w:type="dxa" w:w="6946"/>
          </w:tcPr>
          <w:p>
            <w:pPr>
              <w:spacing w:after="0"/>
            </w:pPr>
            <w:r>
              <w:rPr>
                <w:b w:val="0"/>
                <w:sz w:val="19"/>
              </w:rPr>
              <w:t>A child's affirmative agreement to participate. Failure to object is not assent (21 CFR 50.3(n)).</w:t>
            </w:r>
          </w:p>
        </w:tc>
      </w:tr>
      <w:tr>
        <w:trPr>
          <w:cantSplit w:val="true"/>
        </w:trPr>
        <w:tc>
          <w:tcPr>
            <w:tcW w:type="dxa" w:w="2701"/>
          </w:tcPr>
          <w:p>
            <w:pPr>
              <w:spacing w:after="0"/>
            </w:pPr>
            <w:r>
              <w:rPr>
                <w:b w:val="0"/>
                <w:sz w:val="19"/>
              </w:rPr>
              <w:t>Permission</w:t>
            </w:r>
          </w:p>
        </w:tc>
        <w:tc>
          <w:tcPr>
            <w:tcW w:type="dxa" w:w="6946"/>
          </w:tcPr>
          <w:p>
            <w:pPr>
              <w:spacing w:after="0"/>
            </w:pPr>
            <w:r>
              <w:rPr>
                <w:b w:val="0"/>
                <w:sz w:val="19"/>
              </w:rPr>
              <w:t>The agreement of a parent or guardian to the participation of their child (21 CFR 50.3(r)).</w:t>
            </w:r>
          </w:p>
        </w:tc>
      </w:tr>
      <w:tr>
        <w:trPr>
          <w:cantSplit w:val="true"/>
        </w:trPr>
        <w:tc>
          <w:tcPr>
            <w:tcW w:type="dxa" w:w="2701"/>
          </w:tcPr>
          <w:p>
            <w:pPr>
              <w:spacing w:after="0"/>
            </w:pPr>
            <w:r>
              <w:rPr>
                <w:b w:val="0"/>
                <w:sz w:val="19"/>
              </w:rPr>
              <w:t>Impartial witness</w:t>
            </w:r>
          </w:p>
        </w:tc>
        <w:tc>
          <w:tcPr>
            <w:tcW w:type="dxa" w:w="6946"/>
          </w:tcPr>
          <w:p>
            <w:pPr>
              <w:spacing w:after="0"/>
            </w:pPr>
            <w:r>
              <w:rPr>
                <w:b w:val="0"/>
                <w:sz w:val="19"/>
              </w:rPr>
              <w:t>A person independent of the trial, who cannot be unfairly influenced by people involved with the trial, who attends the consent process when the participant or LAR cannot read, or as required for the short form process.</w:t>
            </w:r>
          </w:p>
        </w:tc>
      </w:tr>
      <w:tr>
        <w:trPr>
          <w:cantSplit w:val="true"/>
        </w:trPr>
        <w:tc>
          <w:tcPr>
            <w:tcW w:type="dxa" w:w="2701"/>
          </w:tcPr>
          <w:p>
            <w:pPr>
              <w:spacing w:after="0"/>
            </w:pPr>
            <w:r>
              <w:rPr>
                <w:b w:val="0"/>
                <w:sz w:val="19"/>
              </w:rPr>
              <w:t>Short form</w:t>
            </w:r>
          </w:p>
        </w:tc>
        <w:tc>
          <w:tcPr>
            <w:tcW w:type="dxa" w:w="6946"/>
          </w:tcPr>
          <w:p>
            <w:pPr>
              <w:spacing w:after="0"/>
            </w:pPr>
            <w:r>
              <w:rPr>
                <w:b w:val="0"/>
                <w:sz w:val="19"/>
              </w:rPr>
              <w:t>A written consent document stating that the required elements of consent were presented orally, used with an IRB-approved written summary and a witness (21 CFR 50.27(b)(2)).</w:t>
            </w:r>
          </w:p>
        </w:tc>
      </w:tr>
      <w:tr>
        <w:trPr>
          <w:cantSplit w:val="true"/>
        </w:trPr>
        <w:tc>
          <w:tcPr>
            <w:tcW w:type="dxa" w:w="2701"/>
          </w:tcPr>
          <w:p>
            <w:pPr>
              <w:spacing w:after="0"/>
            </w:pPr>
            <w:r>
              <w:rPr>
                <w:b w:val="0"/>
                <w:sz w:val="19"/>
              </w:rPr>
              <w:t>Key information</w:t>
            </w:r>
          </w:p>
        </w:tc>
        <w:tc>
          <w:tcPr>
            <w:tcW w:type="dxa" w:w="6946"/>
          </w:tcPr>
          <w:p>
            <w:pPr>
              <w:spacing w:after="0"/>
            </w:pPr>
            <w:r>
              <w:rPr>
                <w:b w:val="0"/>
                <w:sz w:val="19"/>
              </w:rPr>
              <w:t>A concise summary at the start of the consent form of the information most likely to help a person decide whether to take part. Required by 45 CFR 46.116(a)(5) for Common Rule research and by many IRBs for all research.</w:t>
            </w:r>
          </w:p>
        </w:tc>
      </w:tr>
      <w:tr>
        <w:trPr>
          <w:cantSplit w:val="true"/>
        </w:trPr>
        <w:tc>
          <w:tcPr>
            <w:tcW w:type="dxa" w:w="2701"/>
          </w:tcPr>
          <w:p>
            <w:pPr>
              <w:spacing w:after="0"/>
            </w:pPr>
            <w:r>
              <w:rPr>
                <w:b w:val="0"/>
                <w:sz w:val="19"/>
              </w:rPr>
              <w:t>Electronic informed consent (eConsent)</w:t>
            </w:r>
          </w:p>
        </w:tc>
        <w:tc>
          <w:tcPr>
            <w:tcW w:type="dxa" w:w="6946"/>
          </w:tcPr>
          <w:p>
            <w:pPr>
              <w:spacing w:after="0"/>
            </w:pPr>
            <w:r>
              <w:rPr>
                <w:b w:val="0"/>
                <w:sz w:val="19"/>
              </w:rPr>
              <w:t>Use of electronic systems to provide consent information, assess understanding and document consent, including electronic signatures.</w:t>
            </w:r>
          </w:p>
        </w:tc>
      </w:tr>
      <w:tr>
        <w:trPr>
          <w:cantSplit w:val="true"/>
        </w:trPr>
        <w:tc>
          <w:tcPr>
            <w:tcW w:type="dxa" w:w="2701"/>
          </w:tcPr>
          <w:p>
            <w:pPr>
              <w:spacing w:after="0"/>
            </w:pPr>
            <w:r>
              <w:rPr>
                <w:b w:val="0"/>
                <w:sz w:val="19"/>
              </w:rPr>
              <w:t>HIPAA authorization</w:t>
            </w:r>
          </w:p>
        </w:tc>
        <w:tc>
          <w:tcPr>
            <w:tcW w:type="dxa" w:w="6946"/>
          </w:tcPr>
          <w:p>
            <w:pPr>
              <w:spacing w:after="0"/>
            </w:pPr>
            <w:r>
              <w:rPr>
                <w:b w:val="0"/>
                <w:sz w:val="19"/>
              </w:rPr>
              <w:t>A participant's written permission for use and disclosure of their PHI for the research (45 CFR 164.508).</w:t>
            </w:r>
          </w:p>
        </w:tc>
      </w:tr>
      <w:tr>
        <w:trPr>
          <w:cantSplit w:val="true"/>
        </w:trPr>
        <w:tc>
          <w:tcPr>
            <w:tcW w:type="dxa" w:w="2701"/>
          </w:tcPr>
          <w:p>
            <w:pPr>
              <w:spacing w:after="0"/>
            </w:pPr>
            <w:r>
              <w:rPr>
                <w:b w:val="0"/>
                <w:sz w:val="19"/>
              </w:rPr>
              <w:t>Study consent checklist</w:t>
            </w:r>
          </w:p>
        </w:tc>
        <w:tc>
          <w:tcPr>
            <w:tcW w:type="dxa" w:w="6946"/>
          </w:tcPr>
          <w:p>
            <w:pPr>
              <w:spacing w:after="0"/>
            </w:pPr>
            <w:r>
              <w:rPr>
                <w:b w:val="0"/>
                <w:sz w:val="19"/>
              </w:rPr>
              <w:t>The study page of F-301-02 Consent Form Version Control Log. For one study it records the IRB's state-law determinations (LAR authority, age of majority, governing state for remote consent), short-form rules, any waiver or alteration of consent, state-required documents, and the consent versions in use. The Regulatory Coordinator keeps it and files it in the ISF.</w:t>
            </w:r>
          </w:p>
        </w:tc>
      </w:tr>
      <w:tr>
        <w:trPr>
          <w:cantSplit w:val="true"/>
        </w:trPr>
        <w:tc>
          <w:tcPr>
            <w:tcW w:type="dxa" w:w="2701"/>
          </w:tcPr>
          <w:p>
            <w:pPr>
              <w:spacing w:after="0"/>
            </w:pPr>
            <w:r>
              <w:rPr>
                <w:b w:val="0"/>
                <w:sz w:val="19"/>
              </w:rPr>
              <w:t>Re-consent</w:t>
            </w:r>
          </w:p>
        </w:tc>
        <w:tc>
          <w:tcPr>
            <w:tcW w:type="dxa" w:w="6946"/>
          </w:tcPr>
          <w:p>
            <w:pPr>
              <w:spacing w:after="0"/>
            </w:pPr>
            <w:r>
              <w:rPr>
                <w:b w:val="0"/>
                <w:sz w:val="19"/>
              </w:rPr>
              <w:t>Obtaining the participant's (or LAR's) signature on a revised IRB-approved consent form after new information or a change in the study.</w:t>
            </w:r>
          </w:p>
        </w:tc>
      </w:tr>
    </w:tbl>
    <w:p>
      <w:pPr>
        <w:spacing w:after="40"/>
      </w:pPr>
    </w:p>
    <w:p>
      <w:pPr>
        <w:pStyle w:val="Heading1"/>
      </w:pPr>
      <w:r>
        <w:t>5. Procedure</w:t>
      </w:r>
    </w:p>
    <w:p>
      <w:pPr>
        <w:pStyle w:val="Heading2"/>
      </w:pPr>
      <w:r>
        <w:t>5.1 Who may obtain consent</w:t>
      </w:r>
    </w:p>
    <w:p>
      <w:pPr>
        <w:tabs>
          <w:tab w:pos="648" w:val="left"/>
        </w:tabs>
        <w:ind w:left="648" w:hanging="648"/>
      </w:pPr>
      <w:r>
        <w:rPr>
          <w:b/>
        </w:rPr>
        <w:t>5.1.1</w:t>
        <w:tab/>
      </w:r>
      <w:r>
        <w:rPr>
          <w:b w:val="0"/>
        </w:rPr>
        <w:t>Only the PI, a Sub-I, or a staff member delegated "obtain informed consent" on F-302-01 may conduct the consent discussion and sign as the person obtaining consent (ICH E6(R3) Annex 1, 2.8.5). The IRB and sponsor must permit the role. Some IRBs or protocols require an investigator to obtain consent for certain studies (for example first-in-human or invasive procedures).</w:t>
      </w:r>
    </w:p>
    <w:p>
      <w:pPr>
        <w:tabs>
          <w:tab w:pos="648" w:val="left"/>
        </w:tabs>
        <w:ind w:left="648" w:hanging="648"/>
      </w:pPr>
      <w:r>
        <w:rPr>
          <w:b/>
        </w:rPr>
        <w:t>5.1.2</w:t>
        <w:tab/>
      </w:r>
      <w:r>
        <w:rPr>
          <w:b w:val="0"/>
        </w:rPr>
        <w:t>Before delegation, the staff member completes and documents on F-103-01:</w:t>
      </w:r>
    </w:p>
    <w:p>
      <w:pPr>
        <w:pStyle w:val="ListBullet"/>
        <w:spacing w:after="40"/>
        <w:ind w:left="1008" w:hanging="259"/>
      </w:pPr>
      <w:r>
        <w:rPr>
          <w:b w:val="0"/>
        </w:rPr>
        <w:t>GCP and human subject protection training per SOP-103</w:t>
      </w:r>
    </w:p>
    <w:p>
      <w:pPr>
        <w:pStyle w:val="ListBullet"/>
        <w:spacing w:after="40"/>
        <w:ind w:left="1008" w:hanging="259"/>
      </w:pPr>
      <w:r>
        <w:rPr>
          <w:b w:val="0"/>
        </w:rPr>
        <w:t>training on this SOP</w:t>
      </w:r>
    </w:p>
    <w:p>
      <w:pPr>
        <w:pStyle w:val="ListBullet"/>
        <w:spacing w:after="40"/>
        <w:ind w:left="1008" w:hanging="259"/>
      </w:pPr>
      <w:r>
        <w:rPr>
          <w:b w:val="0"/>
        </w:rPr>
        <w:t>study-specific training on the protocol, the consent materials and the investigational product</w:t>
      </w:r>
    </w:p>
    <w:p>
      <w:pPr>
        <w:pStyle w:val="ListBullet"/>
        <w:spacing w:after="40"/>
        <w:ind w:left="1008" w:hanging="259"/>
      </w:pPr>
      <w:r>
        <w:rPr>
          <w:b w:val="0"/>
        </w:rPr>
        <w:t>for eConsent, training on the platform</w:t>
      </w:r>
    </w:p>
    <w:p>
      <w:pPr>
        <w:pStyle w:val="ListBullet"/>
        <w:spacing w:after="40"/>
        <w:ind w:left="1008" w:hanging="259"/>
      </w:pPr>
      <w:r>
        <w:rPr>
          <w:b w:val="0"/>
        </w:rPr>
        <w:t xml:space="preserve">at least </w:t>
      </w:r>
      <w:r>
        <w:rPr>
          <w:b w:val="0"/>
          <w:highlight w:val="green"/>
        </w:rPr>
        <w:t>[DEFAULT: one observed consent discussion and one consent conducted under observation by a staff member already delegated consent]</w:t>
      </w:r>
    </w:p>
    <w:p>
      <w:pPr>
        <w:tabs>
          <w:tab w:pos="648" w:val="left"/>
        </w:tabs>
        <w:ind w:left="648" w:hanging="648"/>
      </w:pPr>
      <w:r>
        <w:rPr>
          <w:b/>
        </w:rPr>
        <w:t>5.1.3</w:t>
        <w:tab/>
      </w:r>
      <w:r>
        <w:rPr>
          <w:b w:val="0"/>
        </w:rPr>
        <w:t>A person who obtains consent but is not an investigator must have an investigator available, in person or by phone or video, to answer medical questions during the discussion. If no investigator is available when a medical question arises, staff stop and resume when one is.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which roles may obtain consent at </w:t>
            </w:r>
            <w:r>
              <w:rPr>
                <w:b w:val="0"/>
                <w:sz w:val="20"/>
                <w:highlight w:val="yellow"/>
              </w:rPr>
              <w:t>[SITE NAME]</w:t>
            </w:r>
            <w:r>
              <w:rPr>
                <w:b w:val="0"/>
                <w:sz w:val="20"/>
              </w:rPr>
              <w:t xml:space="preserve"> (for example investigators, CRCs, research nurses) and any studies or populations where only an investigator may obtain consent. Record the minimum training and observed consents required before a staff member is delegated consent.</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the PI or a Sub-I must sign each consent form in addition to the person who obtained consent, and when. Federal regulations do not require an investigator signature when another delegated person obtains consent. Some IRBs and sponsors do, and their consent form will include an investigator line. If an investigator signature is required, record whether it must be obtained on the same day, before any study procedure, or within </w:t>
            </w:r>
            <w:r>
              <w:rPr>
                <w:b w:val="0"/>
                <w:sz w:val="20"/>
                <w:highlight w:val="yellow"/>
              </w:rPr>
              <w:t>[N]</w:t>
            </w:r>
            <w:r>
              <w:rPr>
                <w:b w:val="0"/>
                <w:sz w:val="20"/>
              </w:rPr>
              <w:t xml:space="preserve"> business days.</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Central staff (for example a network consent specialist or remote consent team) obtain consent for a member site's participants only when that site's PI has delegated "obtain informed consent" to them on that site's F-302-01 for the study, they have completed the training in section 5.1.2, and the IRB has approved remote consent for the study if they are not on site (section 5.9). An investigator of that site answers medical questions under section 5.1.3; the Network Medical Director does so only if listed as a Sub-I for that study at that site. Signed forms and F-301-01 are filed in that site's participant records. (Appendix B, SOP-301 rows; SOP-904.)</w:t>
            </w:r>
          </w:p>
        </w:tc>
      </w:tr>
    </w:tbl>
    <w:p>
      <w:pPr>
        <w:spacing w:after="0"/>
      </w:pPr>
    </w:p>
    <w:p>
      <w:pPr>
        <w:pStyle w:val="Heading2"/>
      </w:pPr>
      <w:r>
        <w:t>5.2 Consent materials and version control</w:t>
      </w:r>
    </w:p>
    <w:p>
      <w:pPr>
        <w:tabs>
          <w:tab w:pos="648" w:val="left"/>
        </w:tabs>
        <w:ind w:left="648" w:hanging="648"/>
      </w:pPr>
      <w:r>
        <w:rPr>
          <w:b/>
        </w:rPr>
        <w:t>5.2.1</w:t>
        <w:tab/>
      </w:r>
      <w:r>
        <w:rPr>
          <w:b w:val="0"/>
        </w:rPr>
        <w:t>The consent form and all consent materials must have IRB approval before use (21 CFR 50.27(a); ICH E6(R3) Annex 1, 2.8.1(a)). The Regulatory Coordinator submits them per SOP-203. Required elements are set by 21 CFR 50.25 and ICH E6(R3) Annex 1, 2.8.10; the sponsor and IRB normally draft the form, and the Regulatory Coordinator checks site-specific fields (site name, contacts, payment, costs, injury language, state-required statements) before submission.</w:t>
      </w:r>
    </w:p>
    <w:p>
      <w:pPr>
        <w:tabs>
          <w:tab w:pos="648" w:val="left"/>
        </w:tabs>
        <w:ind w:left="648" w:hanging="648"/>
      </w:pPr>
      <w:r>
        <w:rPr>
          <w:b/>
        </w:rPr>
        <w:t>5.2.2</w:t>
        <w:tab/>
      </w:r>
      <w:r>
        <w:rPr>
          <w:b w:val="0"/>
        </w:rPr>
        <w:t>Consent materials must not include language that waives or appears to waive any legal right of the participant, or releases or appears to release the investigator, the site, the sponsor or their agents from liability for negligence (21 CFR 50.20; ICH E6(R3) Annex 1, 2.8.4).</w:t>
      </w:r>
    </w:p>
    <w:p>
      <w:pPr>
        <w:tabs>
          <w:tab w:pos="648" w:val="left"/>
        </w:tabs>
        <w:ind w:left="648" w:hanging="648"/>
      </w:pPr>
      <w:r>
        <w:rPr>
          <w:b/>
        </w:rPr>
        <w:t>5.2.3</w:t>
        <w:tab/>
      </w:r>
      <w:r>
        <w:rPr>
          <w:b w:val="0"/>
        </w:rPr>
        <w:t>F-301-02 has a study page for each study, which is the study consent checklist (section 4). When the IRB approves a new or revised consent material, the Regulatory Coordinator records it on F-301-02:</w:t>
      </w:r>
    </w:p>
    <w:p>
      <w:pPr>
        <w:pStyle w:val="ListBullet"/>
        <w:spacing w:after="40"/>
        <w:ind w:left="1008" w:hanging="259"/>
      </w:pPr>
      <w:r>
        <w:rPr>
          <w:b w:val="0"/>
        </w:rPr>
        <w:t>study, document title, language and population (for example adult, LAR, parental permission, assent by age group, short form, optional sub-study)</w:t>
      </w:r>
    </w:p>
    <w:p>
      <w:pPr>
        <w:pStyle w:val="ListBullet"/>
        <w:spacing w:after="40"/>
        <w:ind w:left="1008" w:hanging="259"/>
      </w:pPr>
      <w:r>
        <w:rPr>
          <w:b w:val="0"/>
        </w:rPr>
        <w:t>version number and version date</w:t>
      </w:r>
    </w:p>
    <w:p>
      <w:pPr>
        <w:pStyle w:val="ListBullet"/>
        <w:spacing w:after="40"/>
        <w:ind w:left="1008" w:hanging="259"/>
      </w:pPr>
      <w:r>
        <w:rPr>
          <w:b w:val="0"/>
        </w:rPr>
        <w:t>IRB approval date and the date the version is released for use at the site</w:t>
      </w:r>
    </w:p>
    <w:p>
      <w:pPr>
        <w:pStyle w:val="ListBullet"/>
        <w:spacing w:after="40"/>
        <w:ind w:left="1008" w:hanging="259"/>
      </w:pPr>
      <w:r>
        <w:rPr>
          <w:b w:val="0"/>
        </w:rPr>
        <w:t>the version it supersedes and the date that version was withdrawn</w:t>
      </w:r>
    </w:p>
    <w:p>
      <w:pPr>
        <w:pStyle w:val="ListBullet"/>
        <w:spacing w:after="40"/>
        <w:ind w:left="1008" w:hanging="259"/>
      </w:pPr>
      <w:r>
        <w:rPr>
          <w:b w:val="0"/>
        </w:rPr>
        <w:t>whether re-consent is required, and of which participants (section 5.13)</w:t>
      </w:r>
    </w:p>
    <w:p>
      <w:pPr>
        <w:pStyle w:val="ListBullet"/>
        <w:spacing w:after="40"/>
        <w:ind w:left="1008" w:hanging="259"/>
      </w:pPr>
      <w:r>
        <w:rPr>
          <w:b w:val="0"/>
        </w:rPr>
        <w:t>for eConsent, the date the platform version was checked against the approved document</w:t>
      </w:r>
    </w:p>
    <w:p>
      <w:pPr>
        <w:pStyle w:val="ListBullet"/>
        <w:spacing w:after="40"/>
        <w:ind w:left="1008" w:hanging="259"/>
      </w:pPr>
      <w:r>
        <w:rPr>
          <w:b w:val="0"/>
        </w:rPr>
        <w:t>the date staff who obtain consent were informed of the new version</w:t>
      </w:r>
    </w:p>
    <w:p>
      <w:pPr>
        <w:tabs>
          <w:tab w:pos="648" w:val="left"/>
        </w:tabs>
        <w:ind w:left="648" w:hanging="648"/>
      </w:pPr>
      <w:r>
        <w:rPr>
          <w:b/>
        </w:rPr>
        <w:t>5.2.4</w:t>
        <w:tab/>
      </w:r>
      <w:r>
        <w:rPr>
          <w:b w:val="0"/>
        </w:rPr>
        <w:t>On release, the Regulatory Coordinator removes superseded paper copies from all consent supplies and study binders at every location, marks the master copy "superseded", and confirms that any eConsent platform shows only the current version. Superseded versions remain in the ISF.</w:t>
      </w:r>
    </w:p>
    <w:p>
      <w:pPr>
        <w:tabs>
          <w:tab w:pos="648" w:val="left"/>
        </w:tabs>
        <w:ind w:left="648" w:hanging="648"/>
      </w:pPr>
      <w:r>
        <w:rPr>
          <w:b/>
        </w:rPr>
        <w:t>5.2.5</w:t>
        <w:tab/>
      </w:r>
      <w:r>
        <w:rPr>
          <w:b w:val="0"/>
        </w:rPr>
        <w:t>Where state law requires additional documents (for example California's Experimental Subject's Bill of Rights), the Regulatory Coordinator lists them in Appendix A and in the study consent checklist (study page of F-301-02), and staff provide them as required.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The Network Regulatory Lead may keep a network consent template and submit site versions centrally (Appendix B, SOP-301 rows). Each member site uses only the version the IRB approved for that site, with its own PI, contacts, payment, injury and state-required text. F-301-02 is kept per site, or centrally with a column showing which sites each version is released to. Superseded copies are withdrawn at every location of every site that used them (section 5.2.4). A version approved for one member site is never used at another.</w:t>
            </w:r>
          </w:p>
        </w:tc>
      </w:tr>
    </w:tbl>
    <w:p>
      <w:pPr>
        <w:spacing w:after="0"/>
      </w:pPr>
    </w:p>
    <w:p>
      <w:pPr>
        <w:pStyle w:val="Heading2"/>
      </w:pPr>
      <w:r>
        <w:t>5.3 Who gives consent</w:t>
      </w:r>
    </w:p>
    <w:p>
      <w:pPr>
        <w:tabs>
          <w:tab w:pos="648" w:val="left"/>
        </w:tabs>
        <w:ind w:left="648" w:hanging="648"/>
      </w:pPr>
      <w:r>
        <w:rPr>
          <w:b/>
        </w:rPr>
        <w:t>5.3.1</w:t>
        <w:tab/>
      </w:r>
      <w:r>
        <w:rPr>
          <w:b w:val="0"/>
        </w:rPr>
        <w:t>Before the discussion, the person obtaining consent determines whether the prospective participant is an adult able to consent for themselves, an adult who needs an LAR, or a child.</w:t>
      </w:r>
    </w:p>
    <w:p>
      <w:pPr>
        <w:tabs>
          <w:tab w:pos="648" w:val="left"/>
        </w:tabs>
        <w:ind w:left="648" w:hanging="648"/>
      </w:pPr>
      <w:r>
        <w:rPr>
          <w:b/>
        </w:rPr>
        <w:t>5.3.2</w:t>
        <w:tab/>
      </w:r>
      <w:r>
        <w:rPr>
          <w:b/>
        </w:rPr>
        <w:t>Adults with capacity.</w:t>
      </w:r>
      <w:r>
        <w:rPr>
          <w:b w:val="0"/>
        </w:rPr>
        <w:t xml:space="preserve"> An adult who has reached the age of majority in Appendix A and can understand the information and make a choice consents for themselves.</w:t>
      </w:r>
    </w:p>
    <w:p>
      <w:pPr>
        <w:tabs>
          <w:tab w:pos="648" w:val="left"/>
        </w:tabs>
        <w:ind w:left="648" w:hanging="648"/>
      </w:pPr>
      <w:r>
        <w:rPr>
          <w:b/>
        </w:rPr>
        <w:t>5.3.3</w:t>
        <w:tab/>
      </w:r>
      <w:r>
        <w:rPr>
          <w:b/>
        </w:rPr>
        <w:t>Decision-making capacity.</w:t>
      </w:r>
      <w:r>
        <w:rPr>
          <w:b w:val="0"/>
        </w:rPr>
        <w:t xml:space="preserve"> If anyone involved has reason to doubt a person's capacity (for example cognitive impairment, acute illness, intoxication, pain, distress, or recent sedating medication), the person obtaining consent stops and asks the PI or a Sub-I to assess capacity. The investigator records the assessment and result in the source. If the IRB has approved a specific capacity assessment for the study, staff use it. If the person currently lacks capacity because of a temporary condition, consent is deferred until capacity returns, unless the protocol and IRB allow LAR consent for that situation.</w:t>
      </w:r>
    </w:p>
    <w:p>
      <w:pPr>
        <w:tabs>
          <w:tab w:pos="648" w:val="left"/>
        </w:tabs>
        <w:ind w:left="648" w:hanging="648"/>
      </w:pPr>
      <w:r>
        <w:rPr>
          <w:b/>
        </w:rPr>
        <w:t>5.3.4</w:t>
        <w:tab/>
      </w:r>
      <w:r>
        <w:rPr>
          <w:b/>
        </w:rPr>
        <w:t>LAR consent.</w:t>
      </w:r>
      <w:r>
        <w:rPr>
          <w:b w:val="0"/>
        </w:rPr>
        <w:t xml:space="preserve"> An LAR may consent for an adult only when:</w:t>
      </w:r>
    </w:p>
    <w:p>
      <w:pPr>
        <w:pStyle w:val="ListBullet"/>
        <w:spacing w:after="40"/>
        <w:ind w:left="1008" w:hanging="259"/>
      </w:pPr>
      <w:r>
        <w:rPr>
          <w:b w:val="0"/>
        </w:rPr>
        <w:t>the IRB has approved enrollment of adults who cannot consent for themselves for this study</w:t>
      </w:r>
    </w:p>
    <w:p>
      <w:pPr>
        <w:pStyle w:val="ListBullet"/>
        <w:spacing w:after="40"/>
        <w:ind w:left="1008" w:hanging="259"/>
      </w:pPr>
      <w:r>
        <w:rPr>
          <w:b w:val="0"/>
        </w:rPr>
        <w:t xml:space="preserve">the person acting as LAR qualifies under the law of the state where the research takes place, as recorded in Appendix A and in </w:t>
      </w:r>
      <w:r>
        <w:rPr>
          <w:b w:val="0"/>
          <w:highlight w:val="yellow"/>
        </w:rPr>
        <w:t>[CENTRAL IRB NAME]</w:t>
      </w:r>
      <w:r>
        <w:rPr>
          <w:b w:val="0"/>
        </w:rPr>
        <w:t xml:space="preserve"> policy</w:t>
      </w:r>
    </w:p>
    <w:p>
      <w:pPr>
        <w:pStyle w:val="ListBullet"/>
        <w:spacing w:after="40"/>
        <w:ind w:left="1008" w:hanging="259"/>
      </w:pPr>
      <w:r>
        <w:rPr>
          <w:b w:val="0"/>
        </w:rPr>
        <w:t>the person obtaining consent has verified and recorded the basis of the LAR's authority (for example health care power of attorney, court-appointed guardianship, or a relationship that qualifies under the state's surrogate rules), and filed a copy of any document relied 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For remote consent where the participant or LAR is in a different state from the site, the IRB decides which state's law governs LAR authority, age of majority and any state-required consent documents. The Regulatory Coordinator records the IRB's determination in the study consent checklist (study page of F-301-02).</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Member sites may be in different states. LAR authority, age of majority and state-required consent documents follow the Appendix A worksheet for the state where that member site conducts the research, or the state the IRB designates for remote consent, not the state of the Network Office. In Model N, an Appendix A worksheet is kept for each state where a member site operates.</w:t>
            </w:r>
          </w:p>
        </w:tc>
      </w:tr>
    </w:tbl>
    <w:p>
      <w:pPr>
        <w:spacing w:after="0"/>
      </w:pPr>
    </w:p>
    <w:p>
      <w:pPr>
        <w:tabs>
          <w:tab w:pos="648" w:val="left"/>
        </w:tabs>
        <w:ind w:left="648" w:hanging="648"/>
      </w:pPr>
      <w:r>
        <w:rPr>
          <w:b/>
        </w:rPr>
        <w:t>5.3.5</w:t>
        <w:tab/>
      </w:r>
      <w:r>
        <w:rPr>
          <w:b w:val="0"/>
        </w:rPr>
        <w:t>Even when an LAR consents, the participant is informed about the trial in a way they can understand and, if capable, signs and dates the consent or assent form as the IRB requires (ICH E6(R3) Annex 1, 2.8.13). A participant's objection is respected as the IRB-approved process requires.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State laws that set who may consent to medical treatment for an incapacitated adult or for a minor do not automatically apply to research. Some states have research-specific surrogate laws; some have none. Use only what Appendix A and the IRB say for research. Treatment exceptions that let minors consent for themselves (for example for pregnancy care, sexually transmitted infections or substance use treatment) apply to treatment, not to research, unless state law and the IRB expressly extend them.</w:t>
            </w:r>
          </w:p>
        </w:tc>
      </w:tr>
    </w:tbl>
    <w:p>
      <w:pPr>
        <w:spacing w:after="0"/>
      </w:pPr>
    </w:p>
    <w:p>
      <w:pPr>
        <w:tabs>
          <w:tab w:pos="648" w:val="left"/>
        </w:tabs>
        <w:ind w:left="648" w:hanging="648"/>
      </w:pPr>
      <w:r>
        <w:rPr>
          <w:b/>
        </w:rPr>
        <w:t>5.3.6</w:t>
        <w:tab/>
      </w:r>
      <w:r>
        <w:rPr>
          <w:b/>
        </w:rPr>
        <w:t>Children.</w:t>
      </w:r>
      <w:r>
        <w:rPr>
          <w:b w:val="0"/>
        </w:rPr>
        <w:t xml:space="preserve"> Children may be enrolled only when the IRB has approved the study under 21 CFR 50 Subpart D and has determined:</w:t>
      </w:r>
    </w:p>
    <w:p>
      <w:pPr>
        <w:pStyle w:val="ListBullet"/>
        <w:spacing w:after="40"/>
        <w:ind w:left="1008" w:hanging="259"/>
      </w:pPr>
      <w:r>
        <w:rPr>
          <w:b w:val="0"/>
        </w:rPr>
        <w:t>whether permission of one or both parents is required (21 CFR 50.55(e)): one parent is sufficient for research under 50.51 or 50.52; both parents are required under 50.53 or 50.54 unless one parent is deceased, unknown, incompetent, not reasonably available, or only one parent has legal responsibility for care and custody</w:t>
      </w:r>
    </w:p>
    <w:p>
      <w:pPr>
        <w:pStyle w:val="ListBullet"/>
        <w:spacing w:after="40"/>
        <w:ind w:left="1008" w:hanging="259"/>
      </w:pPr>
      <w:r>
        <w:rPr>
          <w:b w:val="0"/>
        </w:rPr>
        <w:t>whether assent is required, for which ages, and whether and how assent is documented (21 CFR 50.55(g))</w:t>
      </w:r>
    </w:p>
    <w:p>
      <w:pPr>
        <w:tabs>
          <w:tab w:pos="648" w:val="left"/>
        </w:tabs>
        <w:ind w:left="648" w:hanging="648"/>
      </w:pPr>
      <w:r>
        <w:rPr>
          <w:b/>
        </w:rPr>
        <w:t>5.3.7</w:t>
        <w:tab/>
      </w:r>
      <w:r>
        <w:rPr>
          <w:b w:val="0"/>
        </w:rPr>
        <w:t>A guardian may give permission only if authorized under state law to consent for the child's general medical care (21 CFR 50.3(s)), as recorded in Appendix A. Children who are wards of the state or of an agency may be enrolled only as permitted by 21 CFR 50.56 and the IRB.</w:t>
      </w:r>
    </w:p>
    <w:p>
      <w:pPr>
        <w:tabs>
          <w:tab w:pos="648" w:val="left"/>
        </w:tabs>
        <w:ind w:left="648" w:hanging="648"/>
      </w:pPr>
      <w:r>
        <w:rPr>
          <w:b/>
        </w:rPr>
        <w:t>5.3.8</w:t>
        <w:tab/>
      </w:r>
      <w:r>
        <w:rPr>
          <w:b w:val="0"/>
        </w:rPr>
        <w:t>For each child, the person obtaining consent obtains parental permission on the IRB-approved form, then discusses the trial with the child in age-appropriate terms using the IRB-approved assent materials and obtains the child's assent where required (ICH E6(R3) Annex 1, 2.8.12). A child's refusal to assent is respected unless the IRB has determined that assent is not required.</w:t>
      </w:r>
    </w:p>
    <w:p>
      <w:pPr>
        <w:tabs>
          <w:tab w:pos="648" w:val="left"/>
        </w:tabs>
        <w:ind w:left="648" w:hanging="648"/>
      </w:pPr>
      <w:r>
        <w:rPr>
          <w:b/>
        </w:rPr>
        <w:t>5.3.9</w:t>
        <w:tab/>
      </w:r>
      <w:r>
        <w:rPr>
          <w:b/>
        </w:rPr>
        <w:t>Prisoners.</w:t>
      </w:r>
      <w:r>
        <w:rPr>
          <w:b w:val="0"/>
        </w:rPr>
        <w:t xml:space="preserve"> If a prospective or enrolled participant is or becomes a prisoner, the CRC notifies the PI, and the Regulatory Coordinator contacts the IRB before any further study procedure, except procedures needed for the participant's safety.</w:t>
      </w:r>
    </w:p>
    <w:p>
      <w:pPr>
        <w:pStyle w:val="Heading2"/>
      </w:pPr>
      <w:r>
        <w:t>5.4 Before the consent discussion</w:t>
      </w:r>
    </w:p>
    <w:p>
      <w:pPr>
        <w:tabs>
          <w:tab w:pos="648" w:val="left"/>
        </w:tabs>
        <w:ind w:left="648" w:hanging="648"/>
      </w:pPr>
      <w:r>
        <w:rPr>
          <w:b/>
        </w:rPr>
        <w:t>5.4.1</w:t>
        <w:tab/>
      </w:r>
      <w:r>
        <w:rPr>
          <w:b w:val="0"/>
        </w:rPr>
        <w:t>Consent must be obtained before any study procedure, including procedures done only to determine eligibility (for example research-only blood draws, imaging, questionnaires, or washout of a medication). Procedures done as part of the person's normal medical care, which would be done whether or not the person enters the study, may be done without study consent and their results used for eligibility if the protocol allows (FDA guidance Screening Tests Prior to Study Enrollment).</w:t>
      </w:r>
    </w:p>
    <w:p>
      <w:pPr>
        <w:tabs>
          <w:tab w:pos="648" w:val="left"/>
        </w:tabs>
        <w:ind w:left="648" w:hanging="648"/>
      </w:pPr>
      <w:r>
        <w:rPr>
          <w:b/>
        </w:rPr>
        <w:t>5.4.2</w:t>
        <w:tab/>
      </w:r>
      <w:r>
        <w:rPr>
          <w:b w:val="0"/>
        </w:rPr>
        <w:t>If the sponsor's pre-screening involves a procedure that is not standard of care (for example central biomarker testing of archived tissue), the site uses the IRB-approved pre-screening consent for that procedure.</w:t>
      </w:r>
    </w:p>
    <w:p>
      <w:pPr>
        <w:tabs>
          <w:tab w:pos="648" w:val="left"/>
        </w:tabs>
        <w:ind w:left="648" w:hanging="648"/>
      </w:pPr>
      <w:r>
        <w:rPr>
          <w:b/>
        </w:rPr>
        <w:t>5.4.3</w:t>
        <w:tab/>
      </w:r>
      <w:r>
        <w:rPr>
          <w:b w:val="0"/>
        </w:rPr>
        <w:t>Before each consent discussion, the person obtaining consent:</w:t>
      </w:r>
    </w:p>
    <w:p>
      <w:pPr>
        <w:pStyle w:val="ListBullet"/>
        <w:spacing w:after="40"/>
        <w:ind w:left="1008" w:hanging="259"/>
      </w:pPr>
      <w:r>
        <w:rPr>
          <w:b w:val="0"/>
        </w:rPr>
        <w:t>checks F-301-02 and confirms the form in hand, or on the eConsent platform, is the current IRB-approved version for this population and language</w:t>
      </w:r>
    </w:p>
    <w:p>
      <w:pPr>
        <w:pStyle w:val="ListBullet"/>
        <w:spacing w:after="40"/>
        <w:ind w:left="1008" w:hanging="259"/>
      </w:pPr>
      <w:r>
        <w:rPr>
          <w:b w:val="0"/>
        </w:rPr>
        <w:t>confirms all pages are present</w:t>
      </w:r>
    </w:p>
    <w:p>
      <w:pPr>
        <w:pStyle w:val="ListBullet"/>
        <w:spacing w:after="40"/>
        <w:ind w:left="1008" w:hanging="259"/>
      </w:pPr>
      <w:r>
        <w:rPr>
          <w:b w:val="0"/>
        </w:rPr>
        <w:t>confirms they are delegated consent for this study on F-302-01</w:t>
      </w:r>
    </w:p>
    <w:p>
      <w:pPr>
        <w:pStyle w:val="ListBullet"/>
        <w:spacing w:after="40"/>
        <w:ind w:left="1008" w:hanging="259"/>
      </w:pPr>
      <w:r>
        <w:rPr>
          <w:b w:val="0"/>
        </w:rPr>
        <w:t>arranges a private setting and enough time</w:t>
      </w:r>
    </w:p>
    <w:p>
      <w:pPr>
        <w:pStyle w:val="ListBullet"/>
        <w:spacing w:after="40"/>
        <w:ind w:left="1008" w:hanging="259"/>
      </w:pPr>
      <w:r>
        <w:rPr>
          <w:b w:val="0"/>
        </w:rPr>
        <w:t>arranges an interpreter or impartial witness if needed (sections 5.7 and 5.8)</w:t>
      </w:r>
    </w:p>
    <w:p>
      <w:pPr>
        <w:tabs>
          <w:tab w:pos="648" w:val="left"/>
        </w:tabs>
        <w:ind w:left="648" w:hanging="648"/>
      </w:pPr>
      <w:r>
        <w:rPr>
          <w:b/>
        </w:rPr>
        <w:t>5.4.4</w:t>
        <w:tab/>
      </w:r>
      <w:r>
        <w:rPr>
          <w:b w:val="0"/>
        </w:rPr>
        <w:t>Wherever possible, the person obtaining consent gives the prospective participant the consent form in advance (in person, by mail, or electronically as IRB-approved) so they can read it at home before the discussion.</w:t>
      </w:r>
    </w:p>
    <w:p>
      <w:pPr>
        <w:pStyle w:val="Heading2"/>
      </w:pPr>
      <w:r>
        <w:t>5.5 The consent discussion</w:t>
      </w:r>
    </w:p>
    <w:p>
      <w:pPr>
        <w:tabs>
          <w:tab w:pos="648" w:val="left"/>
        </w:tabs>
        <w:ind w:left="648" w:hanging="648"/>
      </w:pPr>
      <w:r>
        <w:rPr>
          <w:b/>
        </w:rPr>
        <w:t>5.5.1</w:t>
        <w:tab/>
      </w:r>
      <w:r>
        <w:rPr>
          <w:b w:val="0"/>
        </w:rPr>
        <w:t>The person obtaining consent explains the trial using the consent form as the basis, starting with the key information section where the form has one. The discussion covers each element in the form, in plain language, including:</w:t>
      </w:r>
    </w:p>
    <w:p>
      <w:pPr>
        <w:pStyle w:val="ListBullet"/>
        <w:spacing w:after="40"/>
        <w:ind w:left="1008" w:hanging="259"/>
      </w:pPr>
      <w:r>
        <w:rPr>
          <w:b w:val="0"/>
        </w:rPr>
        <w:t>that the trial is research, its purpose, and what is experimental</w:t>
      </w:r>
    </w:p>
    <w:p>
      <w:pPr>
        <w:pStyle w:val="ListBullet"/>
        <w:spacing w:after="40"/>
        <w:ind w:left="1008" w:hanging="259"/>
      </w:pPr>
      <w:r>
        <w:rPr>
          <w:b w:val="0"/>
        </w:rPr>
        <w:t>procedures, visits, duration, and what is expected of the participant</w:t>
      </w:r>
    </w:p>
    <w:p>
      <w:pPr>
        <w:pStyle w:val="ListBullet"/>
        <w:spacing w:after="40"/>
        <w:ind w:left="1008" w:hanging="259"/>
      </w:pPr>
      <w:r>
        <w:rPr>
          <w:b w:val="0"/>
        </w:rPr>
        <w:t>foreseeable risks and discomforts, including to a partner, embryo, fetus or nursing infant where relevant</w:t>
      </w:r>
    </w:p>
    <w:p>
      <w:pPr>
        <w:pStyle w:val="ListBullet"/>
        <w:spacing w:after="40"/>
        <w:ind w:left="1008" w:hanging="259"/>
      </w:pPr>
      <w:r>
        <w:rPr>
          <w:b w:val="0"/>
        </w:rPr>
        <w:t>possible benefits, or that no benefit is expected</w:t>
      </w:r>
    </w:p>
    <w:p>
      <w:pPr>
        <w:pStyle w:val="ListBullet"/>
        <w:spacing w:after="40"/>
        <w:ind w:left="1008" w:hanging="259"/>
      </w:pPr>
      <w:r>
        <w:rPr>
          <w:b w:val="0"/>
        </w:rPr>
        <w:t>alternatives, including not taking part</w:t>
      </w:r>
    </w:p>
    <w:p>
      <w:pPr>
        <w:pStyle w:val="ListBullet"/>
        <w:spacing w:after="40"/>
        <w:ind w:left="1008" w:hanging="259"/>
      </w:pPr>
      <w:r>
        <w:rPr>
          <w:b w:val="0"/>
        </w:rPr>
        <w:t>payment, expenses, costs and research-related injury</w:t>
      </w:r>
    </w:p>
    <w:p>
      <w:pPr>
        <w:pStyle w:val="ListBullet"/>
        <w:spacing w:after="40"/>
        <w:ind w:left="1008" w:hanging="259"/>
      </w:pPr>
      <w:r>
        <w:rPr>
          <w:b w:val="0"/>
        </w:rPr>
        <w:t>confidentiality, access to records by the sponsor, monitors, the IRB and FDA, and the ClinicalTrials.gov statement where applicable</w:t>
      </w:r>
    </w:p>
    <w:p>
      <w:pPr>
        <w:pStyle w:val="ListBullet"/>
        <w:spacing w:after="40"/>
        <w:ind w:left="1008" w:hanging="259"/>
      </w:pPr>
      <w:r>
        <w:rPr>
          <w:b w:val="0"/>
        </w:rPr>
        <w:t>that participation is voluntary, that the person may stop or withdraw at any time without penalty or loss of benefits, and what happens to their data if they withdraw</w:t>
      </w:r>
    </w:p>
    <w:p>
      <w:pPr>
        <w:pStyle w:val="ListBullet"/>
        <w:spacing w:after="40"/>
        <w:ind w:left="1008" w:hanging="259"/>
      </w:pPr>
      <w:r>
        <w:rPr>
          <w:b w:val="0"/>
        </w:rPr>
        <w:t>whom to contact with questions about the study, about their rights, or about a possible injury</w:t>
      </w:r>
    </w:p>
    <w:p>
      <w:pPr>
        <w:tabs>
          <w:tab w:pos="648" w:val="left"/>
        </w:tabs>
        <w:ind w:left="648" w:hanging="648"/>
      </w:pPr>
      <w:r>
        <w:rPr>
          <w:b/>
        </w:rPr>
        <w:t>5.5.2</w:t>
        <w:tab/>
      </w:r>
      <w:r>
        <w:rPr>
          <w:b w:val="0"/>
        </w:rPr>
        <w:t>Staff do not overstate benefits, minimize risks or describe the investigational product as treatment. When the person obtaining consent is also the person's treating clinician, they make clear that declining will not affect the person's usual care.</w:t>
      </w:r>
    </w:p>
    <w:p>
      <w:pPr>
        <w:tabs>
          <w:tab w:pos="648" w:val="left"/>
        </w:tabs>
        <w:ind w:left="648" w:hanging="648"/>
      </w:pPr>
      <w:r>
        <w:rPr>
          <w:b/>
        </w:rPr>
        <w:t>5.5.3</w:t>
        <w:tab/>
      </w:r>
      <w:r>
        <w:rPr>
          <w:b w:val="0"/>
        </w:rPr>
        <w:t>Neither the investigator nor staff coerce or unduly influence the person (21 CFR 50.20; ICH E6(R3) Annex 1, 2.8.3). Staff do not pressure a person to sign the same day.</w:t>
      </w:r>
    </w:p>
    <w:p>
      <w:pPr>
        <w:tabs>
          <w:tab w:pos="648" w:val="left"/>
        </w:tabs>
        <w:ind w:left="648" w:hanging="648"/>
      </w:pPr>
      <w:r>
        <w:rPr>
          <w:b/>
        </w:rPr>
        <w:t>5.5.4</w:t>
        <w:tab/>
      </w:r>
      <w:r>
        <w:rPr>
          <w:b w:val="0"/>
        </w:rPr>
        <w:t>The person is given time to consider and the chance to talk with family, friends or their own doctor. They may take an unsigned copy home. The amount of time is decided by the person, unless the protocol requires a minimum interval between consent and procedures, which staff follow.</w:t>
      </w:r>
    </w:p>
    <w:p>
      <w:pPr>
        <w:tabs>
          <w:tab w:pos="648" w:val="left"/>
        </w:tabs>
        <w:ind w:left="648" w:hanging="648"/>
      </w:pPr>
      <w:r>
        <w:rPr>
          <w:b/>
        </w:rPr>
        <w:t>5.5.5</w:t>
        <w:tab/>
      </w:r>
      <w:r>
        <w:rPr>
          <w:b w:val="0"/>
        </w:rPr>
        <w:t>All questions are answered to the person's satisfaction (ICH E6(R3) Annex 1, 2.8.6). Medical questions are answered by an investigator.</w:t>
      </w:r>
    </w:p>
    <w:p>
      <w:pPr>
        <w:tabs>
          <w:tab w:pos="648" w:val="left"/>
        </w:tabs>
        <w:ind w:left="648" w:hanging="648"/>
      </w:pPr>
      <w:r>
        <w:rPr>
          <w:b/>
        </w:rPr>
        <w:t>5.5.6</w:t>
        <w:tab/>
      </w:r>
      <w:r>
        <w:rPr>
          <w:b w:val="0"/>
        </w:rPr>
        <w:t>The person obtaining consent checks understanding by asking the person to explain in their own words the main points, for example the purpose of the study, what will happen, the main risks, that they can stop at any time, and whom to call. Misunderstandings are corrected and checked again. If the person still cannot show understanding of the key points, consent is not obtained and the PI is told.</w:t>
      </w:r>
    </w:p>
    <w:p>
      <w:pPr>
        <w:tabs>
          <w:tab w:pos="648" w:val="left"/>
        </w:tabs>
        <w:ind w:left="648" w:hanging="648"/>
      </w:pPr>
      <w:r>
        <w:rPr>
          <w:b/>
        </w:rPr>
        <w:t>5.5.7</w:t>
        <w:tab/>
      </w:r>
      <w:r>
        <w:rPr>
          <w:b w:val="0"/>
        </w:rPr>
        <w:t>Optional parts of the study (for example future-use specimens or genetic testing) are explained separately. The person's choice is recorded on the form as the IRB-approved form directs, and declining an optional part does not affect participation in the main study.</w:t>
      </w:r>
    </w:p>
    <w:p>
      <w:pPr>
        <w:pStyle w:val="Heading2"/>
      </w:pPr>
      <w:r>
        <w:t>5.6 Signatures, dates and copies</w:t>
      </w:r>
    </w:p>
    <w:p>
      <w:pPr>
        <w:tabs>
          <w:tab w:pos="648" w:val="left"/>
        </w:tabs>
        <w:ind w:left="648" w:hanging="648"/>
      </w:pPr>
      <w:r>
        <w:rPr>
          <w:b/>
        </w:rPr>
        <w:t>5.6.1</w:t>
        <w:tab/>
      </w:r>
      <w:r>
        <w:rPr>
          <w:b w:val="0"/>
        </w:rPr>
        <w:t>Consent is documented before the person's participation, using the current IRB-approved form, unless the IRB has waived documentation (21 CFR 50.27(a); ICH E6(R3) Annex 1, 2.8.7).</w:t>
      </w:r>
    </w:p>
    <w:p>
      <w:pPr>
        <w:tabs>
          <w:tab w:pos="648" w:val="left"/>
        </w:tabs>
        <w:ind w:left="648" w:hanging="648"/>
      </w:pPr>
      <w:r>
        <w:rPr>
          <w:b/>
        </w:rPr>
        <w:t>5.6.2</w:t>
        <w:tab/>
      </w:r>
      <w:r>
        <w:rPr>
          <w:b w:val="0"/>
        </w:rPr>
        <w:t>The participant or LAR personally signs and personally writes the date on the form. Staff never write the participant's or LAR's signature date or complete any field the form assigns to the participant or LAR. Where the form asks for the time of consent, or the participant has procedures on the same day, the time is recorded to show that consent came first.</w:t>
      </w:r>
    </w:p>
    <w:p>
      <w:pPr>
        <w:tabs>
          <w:tab w:pos="648" w:val="left"/>
        </w:tabs>
        <w:ind w:left="648" w:hanging="648"/>
      </w:pPr>
      <w:r>
        <w:rPr>
          <w:b/>
        </w:rPr>
        <w:t>5.6.3</w:t>
        <w:tab/>
      </w:r>
      <w:r>
        <w:rPr>
          <w:b w:val="0"/>
        </w:rPr>
        <w:t>The person who conducted the discussion signs and dates the form at the same session. By signing, they attest that the information was accurately explained to and apparently understood by the participant or LAR, and that consent was freely given (ICH E6(R3) Annex 1, 2.8.7).</w:t>
      </w:r>
    </w:p>
    <w:p>
      <w:pPr>
        <w:tabs>
          <w:tab w:pos="648" w:val="left"/>
        </w:tabs>
        <w:ind w:left="648" w:hanging="648"/>
      </w:pPr>
      <w:r>
        <w:rPr>
          <w:b/>
        </w:rPr>
        <w:t>5.6.4</w:t>
        <w:tab/>
      </w:r>
      <w:r>
        <w:rPr>
          <w:b w:val="0"/>
        </w:rPr>
        <w:t>Other signatures are added when required:</w:t>
      </w:r>
    </w:p>
    <w:p>
      <w:pPr>
        <w:pStyle w:val="ListBullet"/>
        <w:spacing w:after="40"/>
        <w:ind w:left="1008" w:hanging="259"/>
      </w:pPr>
      <w:r>
        <w:rPr>
          <w:b w:val="0"/>
        </w:rPr>
        <w:t>an investigator, if the IRB, sponsor or site decision in section 5.1 requires it</w:t>
      </w:r>
    </w:p>
    <w:p>
      <w:pPr>
        <w:pStyle w:val="ListBullet"/>
        <w:spacing w:after="40"/>
        <w:ind w:left="1008" w:hanging="259"/>
      </w:pPr>
      <w:r>
        <w:rPr>
          <w:b w:val="0"/>
        </w:rPr>
        <w:t>an impartial witness, when the participant or LAR cannot read (section 5.8), or for the short form process (section 5.7)</w:t>
      </w:r>
    </w:p>
    <w:p>
      <w:pPr>
        <w:pStyle w:val="ListBullet"/>
        <w:spacing w:after="40"/>
        <w:ind w:left="1008" w:hanging="259"/>
      </w:pPr>
      <w:r>
        <w:rPr>
          <w:b w:val="0"/>
        </w:rPr>
        <w:t>a parent or guardian giving permission, and the child where assent is documented</w:t>
      </w:r>
    </w:p>
    <w:p>
      <w:pPr>
        <w:pStyle w:val="ListBullet"/>
        <w:spacing w:after="40"/>
        <w:ind w:left="1008" w:hanging="259"/>
      </w:pPr>
      <w:r>
        <w:rPr>
          <w:b w:val="0"/>
        </w:rPr>
        <w:t>an interpreter, if the IRB-approved form has an interpreter line</w:t>
      </w:r>
    </w:p>
    <w:p>
      <w:pPr>
        <w:tabs>
          <w:tab w:pos="648" w:val="left"/>
        </w:tabs>
        <w:ind w:left="648" w:hanging="648"/>
      </w:pPr>
      <w:r>
        <w:rPr>
          <w:b/>
        </w:rPr>
        <w:t>5.6.5</w:t>
        <w:tab/>
      </w:r>
      <w:r>
        <w:rPr>
          <w:b w:val="0"/>
        </w:rPr>
        <w:t>Before the participant leaves, the person obtaining consent checks every page: signatures, dates, initials, checkboxes and option choices, version, and that no fields are blank that the IRB or sponsor requires. Problems found at this point are fixed by the person whose entry it is, at that time, with the current date (section 5.12.4).</w:t>
      </w:r>
    </w:p>
    <w:p>
      <w:pPr>
        <w:tabs>
          <w:tab w:pos="1037" w:val="left"/>
        </w:tabs>
        <w:ind w:left="1037" w:hanging="821"/>
      </w:pPr>
      <w:r>
        <w:rPr>
          <w:b/>
        </w:rPr>
        <w:t>5.6.5.1</w:t>
        <w:tab/>
      </w:r>
      <w:r>
        <w:rPr>
          <w:b w:val="0"/>
        </w:rPr>
        <w:t>An error corrected before the participant leaves and before any study procedure (for example a missing date or initials added the same day by the person who omitted them, with the actual date and no backdating) is documented on F-301-01 and is not a deviation.</w:t>
      </w:r>
    </w:p>
    <w:p>
      <w:pPr>
        <w:tabs>
          <w:tab w:pos="1037" w:val="left"/>
        </w:tabs>
        <w:ind w:left="1037" w:hanging="821"/>
      </w:pPr>
      <w:r>
        <w:rPr>
          <w:b/>
        </w:rPr>
        <w:t>5.6.5.2</w:t>
        <w:tab/>
      </w:r>
      <w:r>
        <w:rPr>
          <w:b w:val="0"/>
        </w:rPr>
        <w:t>Anything found after a study procedure has started or after the participant has left is a consent error under section 5.12.</w:t>
      </w:r>
    </w:p>
    <w:p>
      <w:pPr>
        <w:tabs>
          <w:tab w:pos="648" w:val="left"/>
        </w:tabs>
        <w:ind w:left="648" w:hanging="648"/>
      </w:pPr>
      <w:r>
        <w:rPr>
          <w:b/>
        </w:rPr>
        <w:t>5.6.6</w:t>
        <w:tab/>
      </w:r>
      <w:r>
        <w:rPr>
          <w:b w:val="0"/>
        </w:rPr>
        <w:t>The participant or LAR is given a copy of the signed and dated consent form (paper or electronic) and any other consent materials, before participation (21 CFR 50.27(a); ICH E6(R3) Annex 1, 2.8.11).</w:t>
      </w:r>
    </w:p>
    <w:p>
      <w:pPr>
        <w:tabs>
          <w:tab w:pos="648" w:val="left"/>
        </w:tabs>
        <w:ind w:left="648" w:hanging="648"/>
      </w:pPr>
      <w:r>
        <w:rPr>
          <w:b/>
        </w:rPr>
        <w:t>5.6.7</w:t>
        <w:tab/>
      </w:r>
      <w:r>
        <w:rPr>
          <w:b w:val="0"/>
        </w:rPr>
        <w:t>The original signed form is filed in the participant's research record, or retained in the eConsent platform with a certified copy or access arrangement per SOP-401. Consent records are retained per SOP-402.</w:t>
      </w:r>
    </w:p>
    <w:p>
      <w:pPr>
        <w:pStyle w:val="Heading2"/>
      </w:pPr>
      <w:r>
        <w:t>5.7 People who do not speak or read English well</w:t>
      </w:r>
    </w:p>
    <w:p>
      <w:pPr>
        <w:tabs>
          <w:tab w:pos="648" w:val="left"/>
        </w:tabs>
        <w:ind w:left="648" w:hanging="648"/>
      </w:pPr>
      <w:r>
        <w:rPr>
          <w:b/>
        </w:rPr>
        <w:t>5.7.1</w:t>
        <w:tab/>
      </w:r>
      <w:r>
        <w:rPr>
          <w:b w:val="0"/>
        </w:rPr>
        <w:t>The site plans in advance how it will consent people who prefer a language other than English (SOP-300). The preferred method is a full consent form translated into the person's language and approved by the IRB, with a qualified interpreter for the discussion when the person obtaining consent does not speak that language.</w:t>
      </w:r>
    </w:p>
    <w:p>
      <w:pPr>
        <w:tabs>
          <w:tab w:pos="648" w:val="left"/>
        </w:tabs>
        <w:ind w:left="648" w:hanging="648"/>
      </w:pPr>
      <w:r>
        <w:rPr>
          <w:b/>
        </w:rPr>
        <w:t>5.7.2</w:t>
        <w:tab/>
      </w:r>
      <w:r>
        <w:rPr>
          <w:b w:val="0"/>
        </w:rPr>
        <w:t>When a translated form is not available and the IRB permits it, the short form method under 21 CFR 50.27(b)(2) may be used:</w:t>
      </w:r>
    </w:p>
    <w:p>
      <w:pPr>
        <w:pStyle w:val="ListBullet"/>
        <w:spacing w:after="40"/>
        <w:ind w:left="1008" w:hanging="259"/>
      </w:pPr>
      <w:r>
        <w:rPr>
          <w:b w:val="0"/>
        </w:rPr>
        <w:t>the IRB has approved the English written summary (normally the English consent form) and the short form in the person's language</w:t>
      </w:r>
    </w:p>
    <w:p>
      <w:pPr>
        <w:pStyle w:val="ListBullet"/>
        <w:spacing w:after="40"/>
        <w:ind w:left="1008" w:hanging="259"/>
      </w:pPr>
      <w:r>
        <w:rPr>
          <w:b w:val="0"/>
        </w:rPr>
        <w:t>a qualified interpreter presents the summary orally in the person's language</w:t>
      </w:r>
    </w:p>
    <w:p>
      <w:pPr>
        <w:pStyle w:val="ListBullet"/>
        <w:spacing w:after="40"/>
        <w:ind w:left="1008" w:hanging="259"/>
      </w:pPr>
      <w:r>
        <w:rPr>
          <w:b w:val="0"/>
        </w:rPr>
        <w:t>a witness is present for the entire oral presentation; for non-English speakers the witness should be conversant in English and the person's language. FDA's 2023 Informed Consent guidance recommends an impartial third party not otherwise connected with the investigation (for example clinic staff not involved in the research, a patient advocate, or an independent interpreter). A qualified interpreter may serve as the witness if the IRB permits</w:t>
      </w:r>
    </w:p>
    <w:p>
      <w:pPr>
        <w:pStyle w:val="ListBullet"/>
        <w:spacing w:after="40"/>
        <w:ind w:left="1008" w:hanging="259"/>
      </w:pPr>
      <w:r>
        <w:rPr>
          <w:b w:val="0"/>
        </w:rPr>
        <w:t>the participant or LAR signs and dates the short form only</w:t>
      </w:r>
    </w:p>
    <w:p>
      <w:pPr>
        <w:pStyle w:val="ListBullet"/>
        <w:spacing w:after="40"/>
        <w:ind w:left="1008" w:hanging="259"/>
      </w:pPr>
      <w:r>
        <w:rPr>
          <w:b w:val="0"/>
        </w:rPr>
        <w:t>the witness signs both the short form and a copy of the summary</w:t>
      </w:r>
    </w:p>
    <w:p>
      <w:pPr>
        <w:pStyle w:val="ListBullet"/>
        <w:spacing w:after="40"/>
        <w:ind w:left="1008" w:hanging="259"/>
      </w:pPr>
      <w:r>
        <w:rPr>
          <w:b w:val="0"/>
        </w:rPr>
        <w:t>the person obtaining consent signs a copy of the summary</w:t>
      </w:r>
    </w:p>
    <w:p>
      <w:pPr>
        <w:pStyle w:val="ListBullet"/>
        <w:spacing w:after="40"/>
        <w:ind w:left="1008" w:hanging="259"/>
      </w:pPr>
      <w:r>
        <w:rPr>
          <w:b w:val="0"/>
        </w:rPr>
        <w:t>the participant or LAR receives a copy of the short form and a copy of the summary</w:t>
      </w:r>
    </w:p>
    <w:p>
      <w:pPr>
        <w:tabs>
          <w:tab w:pos="648" w:val="left"/>
        </w:tabs>
        <w:ind w:left="648" w:hanging="648"/>
      </w:pPr>
      <w:r>
        <w:rPr>
          <w:b/>
        </w:rPr>
        <w:t>5.7.3</w:t>
        <w:tab/>
      </w:r>
      <w:r>
        <w:rPr>
          <w:b w:val="0"/>
        </w:rPr>
        <w:t>Staff do not use ad hoc oral translation of the English form, without a short form, as a substitute for written consent in the person's language. Family members, and especially minors, should not act as interpreters for consent.</w:t>
      </w:r>
    </w:p>
    <w:p>
      <w:pPr>
        <w:tabs>
          <w:tab w:pos="648" w:val="left"/>
        </w:tabs>
        <w:ind w:left="648" w:hanging="648"/>
      </w:pPr>
      <w:r>
        <w:rPr>
          <w:b/>
        </w:rPr>
        <w:t>5.7.4</w:t>
        <w:tab/>
      </w:r>
      <w:r>
        <w:rPr>
          <w:b w:val="0"/>
          <w:highlight w:val="yellow"/>
        </w:rPr>
        <w:t>[CENTRAL IRB NAME]</w:t>
      </w:r>
      <w:r>
        <w:rPr>
          <w:b w:val="0"/>
        </w:rPr>
        <w:t xml:space="preserve"> may limit use of the short form (for example to unexpected encounters) and may require a full translated form when the site expects to enroll several people who speak the same language. The Regulatory Coordinator records the IRB's rules in the study consent checklist (study page of F-301-02).</w:t>
      </w:r>
    </w:p>
    <w:p>
      <w:pPr>
        <w:tabs>
          <w:tab w:pos="648" w:val="left"/>
        </w:tabs>
        <w:ind w:left="648" w:hanging="648"/>
      </w:pPr>
      <w:r>
        <w:rPr>
          <w:b/>
        </w:rPr>
        <w:t>5.7.5</w:t>
        <w:tab/>
      </w:r>
      <w:r>
        <w:rPr>
          <w:b w:val="0"/>
        </w:rPr>
        <w:t>When a participant is consented in another language, an interpreter is arranged for later visits, phone calls and new information so the participant can keep making informed choices.</w:t>
      </w:r>
    </w:p>
    <w:p>
      <w:pPr>
        <w:pStyle w:val="Heading2"/>
      </w:pPr>
      <w:r>
        <w:t>5.8 People who cannot read, or cannot sign</w:t>
      </w:r>
    </w:p>
    <w:p>
      <w:pPr>
        <w:tabs>
          <w:tab w:pos="648" w:val="left"/>
        </w:tabs>
        <w:ind w:left="648" w:hanging="648"/>
      </w:pPr>
      <w:r>
        <w:rPr>
          <w:b/>
        </w:rPr>
        <w:t>5.8.1</w:t>
        <w:tab/>
      </w:r>
      <w:r>
        <w:rPr>
          <w:b w:val="0"/>
        </w:rPr>
        <w:t>If the participant or LAR cannot read, an impartial witness is present (in person or remotely) for the entire consent discussion. The form is read aloud and explained. After the person has agreed orally and, if able, signed and dated the form, the witness signs and dates the form, attesting that the information was accurately explained and apparently understood and that consent was freely given (ICH E6(R3) Annex 1, 2.8.9). FDA regulations permit the form to be read to the person (21 CFR 50.27(b)(1)); the impartial witness requirement comes from ICH E6(R3) and IRB policy.</w:t>
      </w:r>
    </w:p>
    <w:p>
      <w:pPr>
        <w:tabs>
          <w:tab w:pos="648" w:val="left"/>
        </w:tabs>
        <w:ind w:left="648" w:hanging="648"/>
      </w:pPr>
      <w:r>
        <w:rPr>
          <w:b/>
        </w:rPr>
        <w:t>5.8.2</w:t>
        <w:tab/>
      </w:r>
      <w:r>
        <w:rPr>
          <w:b w:val="0"/>
        </w:rPr>
        <w:t>Site staff on the study team are not impartial witnesses. The witness may be, for example, clinic staff not involved in the study, a patient advocate, or another adult independent of the trial and not chosen by the study team for convenience. A family member or friend may serve only if the IRB permits it.</w:t>
      </w:r>
    </w:p>
    <w:p>
      <w:pPr>
        <w:tabs>
          <w:tab w:pos="648" w:val="left"/>
        </w:tabs>
        <w:ind w:left="648" w:hanging="648"/>
      </w:pPr>
      <w:r>
        <w:rPr>
          <w:b/>
        </w:rPr>
        <w:t>5.8.3</w:t>
        <w:tab/>
      </w:r>
      <w:r>
        <w:rPr>
          <w:b w:val="0"/>
        </w:rPr>
        <w:t>If a person can understand and consent but cannot physically sign, staff follow the IRB's procedure (for example a mark, or an LAR signing at the participant's direction with a witness) and record what was done on F-301-01.</w:t>
      </w:r>
    </w:p>
    <w:p>
      <w:pPr>
        <w:pStyle w:val="Heading2"/>
      </w:pPr>
      <w:r>
        <w:t>5.9 Remote consent and eConsent</w:t>
      </w:r>
    </w:p>
    <w:p>
      <w:pPr>
        <w:tabs>
          <w:tab w:pos="648" w:val="left"/>
        </w:tabs>
        <w:ind w:left="648" w:hanging="648"/>
      </w:pPr>
      <w:r>
        <w:rPr>
          <w:b/>
        </w:rPr>
        <w:t>5.9.1</w:t>
        <w:tab/>
      </w:r>
      <w:r>
        <w:rPr>
          <w:b w:val="0"/>
        </w:rPr>
        <w:t>Remote consent (by phone or video) and eConsent are used only when the IRB has approved the method for the study (ICH E6(R3) Annex 1, 2.8.1(c) to (e)). A remote discussion is still a full consent discussion under section 5.5. It is not a waiver of consent or of documentation. Only the IRB can waive documentation (21 CFR 56.109(c)).</w:t>
      </w:r>
    </w:p>
    <w:p>
      <w:pPr>
        <w:tabs>
          <w:tab w:pos="648" w:val="left"/>
        </w:tabs>
        <w:ind w:left="648" w:hanging="648"/>
      </w:pPr>
      <w:r>
        <w:rPr>
          <w:b/>
        </w:rPr>
        <w:t>5.9.2</w:t>
        <w:tab/>
      </w:r>
      <w:r>
        <w:rPr>
          <w:b w:val="0"/>
        </w:rPr>
        <w:t>For remote consent with paper forms, the CRC follows the IRB-approved process, typically:</w:t>
      </w:r>
    </w:p>
    <w:p>
      <w:pPr>
        <w:pStyle w:val="ListBullet"/>
        <w:spacing w:after="40"/>
        <w:ind w:left="1008" w:hanging="259"/>
      </w:pPr>
      <w:r>
        <w:rPr>
          <w:b w:val="0"/>
        </w:rPr>
        <w:t>send the current consent form to the person in advance by mail, secure email or portal</w:t>
      </w:r>
    </w:p>
    <w:p>
      <w:pPr>
        <w:pStyle w:val="ListBullet"/>
        <w:spacing w:after="40"/>
        <w:ind w:left="1008" w:hanging="259"/>
      </w:pPr>
      <w:r>
        <w:rPr>
          <w:b w:val="0"/>
        </w:rPr>
        <w:t>conduct the discussion by phone or video, with the person holding the form</w:t>
      </w:r>
    </w:p>
    <w:p>
      <w:pPr>
        <w:pStyle w:val="ListBullet"/>
        <w:spacing w:after="40"/>
        <w:ind w:left="1008" w:hanging="259"/>
      </w:pPr>
      <w:r>
        <w:rPr>
          <w:b w:val="0"/>
        </w:rPr>
        <w:t>verify the person's identity (section 5.9.4)</w:t>
      </w:r>
    </w:p>
    <w:p>
      <w:pPr>
        <w:pStyle w:val="ListBullet"/>
        <w:spacing w:after="40"/>
        <w:ind w:left="1008" w:hanging="259"/>
      </w:pPr>
      <w:r>
        <w:rPr>
          <w:b w:val="0"/>
        </w:rPr>
        <w:t>the person signs and dates the form, and returns it by mail, secure upload or in person; the person obtaining consent then signs and dates with the actual date they sign</w:t>
      </w:r>
    </w:p>
    <w:p>
      <w:pPr>
        <w:pStyle w:val="ListBullet"/>
        <w:spacing w:after="40"/>
        <w:ind w:left="1008" w:hanging="259"/>
      </w:pPr>
      <w:r>
        <w:rPr>
          <w:b w:val="0"/>
        </w:rPr>
        <w:t>record in F-301-01 the date and method of the discussion, the date of the person's signature, and the date the site received the signed form</w:t>
      </w:r>
    </w:p>
    <w:p>
      <w:pPr>
        <w:pStyle w:val="ListBullet"/>
        <w:spacing w:after="40"/>
        <w:ind w:left="1008" w:hanging="259"/>
      </w:pPr>
      <w:r>
        <w:rPr>
          <w:b w:val="0"/>
        </w:rPr>
        <w:t>no study procedure takes place until the site has the signed form</w:t>
      </w:r>
    </w:p>
    <w:p>
      <w:pPr>
        <w:tabs>
          <w:tab w:pos="648" w:val="left"/>
        </w:tabs>
        <w:ind w:left="648" w:hanging="648"/>
      </w:pPr>
      <w:r>
        <w:rPr>
          <w:b/>
        </w:rPr>
        <w:t>5.9.3</w:t>
        <w:tab/>
      </w:r>
      <w:r>
        <w:rPr>
          <w:b w:val="0"/>
        </w:rPr>
        <w:t>For eConsent, the platform must be IRB-approved for the study, and all content shown to participants (text, video, quizzes, hyperlinked materials) must be part of the IRB-approved consent materials. The platform must:</w:t>
      </w:r>
    </w:p>
    <w:p>
      <w:pPr>
        <w:pStyle w:val="ListBullet"/>
        <w:spacing w:after="40"/>
        <w:ind w:left="1008" w:hanging="259"/>
      </w:pPr>
      <w:r>
        <w:rPr>
          <w:b w:val="0"/>
        </w:rPr>
        <w:t>meet 21 CFR Part 11 for electronic records and signatures, including audit trails and signatures linked to their records</w:t>
      </w:r>
    </w:p>
    <w:p>
      <w:pPr>
        <w:pStyle w:val="ListBullet"/>
        <w:spacing w:after="40"/>
        <w:ind w:left="1008" w:hanging="259"/>
      </w:pPr>
      <w:r>
        <w:rPr>
          <w:b w:val="0"/>
        </w:rPr>
        <w:t>link each electronic signature to a unique individual and record the printed name, date and time of signing and the meaning of the signature (21 CFR 11.50, 11.70, 11.100)</w:t>
      </w:r>
    </w:p>
    <w:p>
      <w:pPr>
        <w:pStyle w:val="ListBullet"/>
        <w:spacing w:after="40"/>
        <w:ind w:left="1008" w:hanging="259"/>
      </w:pPr>
      <w:r>
        <w:rPr>
          <w:b w:val="0"/>
        </w:rPr>
        <w:t>record which version the participant signed</w:t>
      </w:r>
    </w:p>
    <w:p>
      <w:pPr>
        <w:pStyle w:val="ListBullet"/>
        <w:spacing w:after="40"/>
        <w:ind w:left="1008" w:hanging="259"/>
      </w:pPr>
      <w:r>
        <w:rPr>
          <w:b w:val="0"/>
        </w:rPr>
        <w:t>give the participant a copy of the signed consent, electronically or on paper</w:t>
      </w:r>
    </w:p>
    <w:p>
      <w:pPr>
        <w:tabs>
          <w:tab w:pos="648" w:val="left"/>
        </w:tabs>
        <w:ind w:left="648" w:hanging="648"/>
      </w:pPr>
      <w:r>
        <w:rPr>
          <w:b/>
        </w:rPr>
        <w:t>5.9.4</w:t>
        <w:tab/>
      </w:r>
      <w:r>
        <w:rPr>
          <w:b w:val="0"/>
        </w:rPr>
        <w:t>Whether consent is in person or remote, the person obtaining consent verifies the identity of the participant or LAR (ICH E6(R3) Annex 1, 2.8.1(e)) against a government-issued photo ID, seen in person or shown on camera, or by another method the IRB approved for the study (for example the eConsent platform's identity check). The method is recorded on F-301-01. Staff do not copy or store the ID image unless the protocol or IRB requires it. This is the site's single rule for identity verification at consent; SOP-313, section 5.3 points to it for remote encounters.</w:t>
      </w:r>
    </w:p>
    <w:p>
      <w:pPr>
        <w:tabs>
          <w:tab w:pos="648" w:val="left"/>
        </w:tabs>
        <w:ind w:left="648" w:hanging="648"/>
      </w:pPr>
      <w:r>
        <w:rPr>
          <w:b/>
        </w:rPr>
        <w:t>5.9.5</w:t>
        <w:tab/>
      </w:r>
      <w:r>
        <w:rPr>
          <w:b w:val="0"/>
        </w:rPr>
        <w:t>The site offers a paper consent alternative where the IRB permits (ICH E6(R3) Annex 1, 2.8.1(c)), and uses it if the platform is unavailable. A paper consent used during an outage must be the IRB-approved paper version that matches the eConsent version in use.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the eConsent platform(s) the site uses (sponsor-provided per study, or site-selected), who validated or qualified it (sponsor documentation or site qualification under SOP-105 and SOP-401), how staff access is granted and removed, how participants receive their copy, and how signed consents are retained and made available to monitors and inspectors.</w:t>
            </w:r>
          </w:p>
        </w:tc>
      </w:tr>
    </w:tbl>
    <w:p>
      <w:pPr>
        <w:spacing w:after="0"/>
      </w:pPr>
    </w:p>
    <w:p>
      <w:pPr>
        <w:tabs>
          <w:tab w:pos="648" w:val="left"/>
        </w:tabs>
        <w:ind w:left="648" w:hanging="648"/>
      </w:pPr>
      <w:r>
        <w:rPr>
          <w:b/>
        </w:rPr>
        <w:t>5.9.6</w:t>
        <w:tab/>
      </w:r>
      <w:r>
        <w:rPr>
          <w:b w:val="0"/>
        </w:rPr>
        <w:t>For consent at a home visit or with a participant in another state, SOP-313 adds identity checks at remote encounters (SOP-313, section 5.3) and the rule that local healthcare providers do not obtain consent (SOP-313, section 5.2.5). The IRB decides which state's law applies (section 5.3.4).</w:t>
      </w:r>
    </w:p>
    <w:p>
      <w:pPr>
        <w:pStyle w:val="Heading2"/>
      </w:pPr>
      <w:r>
        <w:t>5.10 HIPAA authorization</w:t>
      </w:r>
    </w:p>
    <w:p>
      <w:pPr>
        <w:tabs>
          <w:tab w:pos="648" w:val="left"/>
        </w:tabs>
        <w:ind w:left="648" w:hanging="648"/>
      </w:pPr>
      <w:r>
        <w:rPr>
          <w:b/>
        </w:rPr>
        <w:t>5.10.1</w:t>
        <w:tab/>
      </w:r>
      <w:r>
        <w:rPr>
          <w:b w:val="0"/>
        </w:rPr>
        <w:t>The participant or LAR signs a HIPAA authorization for the research, unless the IRB or a Privacy Board has approved a waiver. The authorization may be combined with the consent form or be a separate document, as the IRB approves (45 CFR 164.508(b)(3)).</w:t>
      </w:r>
    </w:p>
    <w:p>
      <w:pPr>
        <w:tabs>
          <w:tab w:pos="648" w:val="left"/>
        </w:tabs>
        <w:ind w:left="648" w:hanging="648"/>
      </w:pPr>
      <w:r>
        <w:rPr>
          <w:b/>
        </w:rPr>
        <w:t>5.10.2</w:t>
        <w:tab/>
      </w:r>
      <w:r>
        <w:rPr>
          <w:b w:val="0"/>
        </w:rPr>
        <w:t>The person obtaining consent explains what PHI will be used and disclosed, to whom, whether the authorization expires, and how to revoke it in writing. The participant receives a copy of the signed authorization (45 CFR 164.508(c)(4)).</w:t>
      </w:r>
    </w:p>
    <w:p>
      <w:pPr>
        <w:tabs>
          <w:tab w:pos="648" w:val="left"/>
        </w:tabs>
        <w:ind w:left="648" w:hanging="648"/>
      </w:pPr>
      <w:r>
        <w:rPr>
          <w:b/>
        </w:rPr>
        <w:t>5.10.3</w:t>
        <w:tab/>
      </w:r>
      <w:r>
        <w:rPr>
          <w:b w:val="0"/>
        </w:rPr>
        <w:t>Revocation of the authorization is handled with withdrawal per SOP-309. Privacy questions go to the Privacy Officer under SOP-400.</w:t>
      </w:r>
    </w:p>
    <w:p>
      <w:pPr>
        <w:pStyle w:val="Heading2"/>
      </w:pPr>
      <w:r>
        <w:t>5.11 Documentation in source and consent QC</w:t>
      </w:r>
    </w:p>
    <w:p>
      <w:pPr>
        <w:tabs>
          <w:tab w:pos="648" w:val="left"/>
        </w:tabs>
        <w:ind w:left="648" w:hanging="648"/>
      </w:pPr>
      <w:r>
        <w:rPr>
          <w:b/>
        </w:rPr>
        <w:t>5.11.1</w:t>
        <w:tab/>
      </w:r>
      <w:r>
        <w:rPr>
          <w:b w:val="0"/>
        </w:rPr>
        <w:t>The person who obtained consent completes F-301-01 Informed Consent Process Note, or an equivalent note in the source that contains the same content, the same day. The note records:</w:t>
      </w:r>
    </w:p>
    <w:p>
      <w:pPr>
        <w:pStyle w:val="ListBullet"/>
        <w:spacing w:after="40"/>
        <w:ind w:left="1008" w:hanging="259"/>
      </w:pPr>
      <w:r>
        <w:rPr>
          <w:b w:val="0"/>
        </w:rPr>
        <w:t>the study, the consent version and language signed, and any optional choices</w:t>
      </w:r>
    </w:p>
    <w:p>
      <w:pPr>
        <w:pStyle w:val="ListBullet"/>
        <w:spacing w:after="40"/>
        <w:ind w:left="1008" w:hanging="259"/>
      </w:pPr>
      <w:r>
        <w:rPr>
          <w:b w:val="0"/>
        </w:rPr>
        <w:t>the date (and time where relevant) of the discussion and of signature</w:t>
      </w:r>
    </w:p>
    <w:p>
      <w:pPr>
        <w:pStyle w:val="ListBullet"/>
        <w:spacing w:after="40"/>
        <w:ind w:left="1008" w:hanging="259"/>
      </w:pPr>
      <w:r>
        <w:rPr>
          <w:b w:val="0"/>
        </w:rPr>
        <w:t>who obtained consent, and who else was present (LAR, parent, interpreter, witness)</w:t>
      </w:r>
    </w:p>
    <w:p>
      <w:pPr>
        <w:pStyle w:val="ListBullet"/>
        <w:spacing w:after="40"/>
        <w:ind w:left="1008" w:hanging="259"/>
      </w:pPr>
      <w:r>
        <w:rPr>
          <w:b w:val="0"/>
        </w:rPr>
        <w:t>how capacity, LAR authority or parental status was confirmed, where relevant</w:t>
      </w:r>
    </w:p>
    <w:p>
      <w:pPr>
        <w:pStyle w:val="ListBullet"/>
        <w:spacing w:after="40"/>
        <w:ind w:left="1008" w:hanging="259"/>
      </w:pPr>
      <w:r>
        <w:rPr>
          <w:b w:val="0"/>
        </w:rPr>
        <w:t>that the person had time to consider and that questions were answered</w:t>
      </w:r>
    </w:p>
    <w:p>
      <w:pPr>
        <w:pStyle w:val="ListBullet"/>
        <w:spacing w:after="40"/>
        <w:ind w:left="1008" w:hanging="259"/>
      </w:pPr>
      <w:r>
        <w:rPr>
          <w:b w:val="0"/>
        </w:rPr>
        <w:t>the comprehension check and outcome</w:t>
      </w:r>
    </w:p>
    <w:p>
      <w:pPr>
        <w:pStyle w:val="ListBullet"/>
        <w:spacing w:after="40"/>
        <w:ind w:left="1008" w:hanging="259"/>
      </w:pPr>
      <w:r>
        <w:rPr>
          <w:b w:val="0"/>
        </w:rPr>
        <w:t>for remote or eConsent, the method and identity verification</w:t>
      </w:r>
    </w:p>
    <w:p>
      <w:pPr>
        <w:pStyle w:val="ListBullet"/>
        <w:spacing w:after="40"/>
        <w:ind w:left="1008" w:hanging="259"/>
      </w:pPr>
      <w:r>
        <w:rPr>
          <w:b w:val="0"/>
        </w:rPr>
        <w:t>that the participant received a copy</w:t>
      </w:r>
    </w:p>
    <w:p>
      <w:pPr>
        <w:pStyle w:val="ListBullet"/>
        <w:spacing w:after="40"/>
        <w:ind w:left="1008" w:hanging="259"/>
      </w:pPr>
      <w:r>
        <w:rPr>
          <w:b w:val="0"/>
        </w:rPr>
        <w:t>that no study procedure took place before consent</w:t>
      </w:r>
    </w:p>
    <w:p>
      <w:pPr>
        <w:tabs>
          <w:tab w:pos="648" w:val="left"/>
        </w:tabs>
        <w:ind w:left="648" w:hanging="648"/>
      </w:pPr>
      <w:r>
        <w:rPr>
          <w:b/>
        </w:rPr>
        <w:t>5.11.2</w:t>
        <w:tab/>
      </w:r>
      <w:r>
        <w:rPr>
          <w:b w:val="0"/>
        </w:rPr>
        <w:t>The case history for each participant must document that consent was obtained before participation (21 CFR 312.62(b); 21 CFR 812.140(a)(3)). Where the site keeps the participant's medical record, staff also note study enrollment there per SOP-306.</w:t>
      </w:r>
    </w:p>
    <w:p>
      <w:pPr>
        <w:tabs>
          <w:tab w:pos="648" w:val="left"/>
        </w:tabs>
        <w:ind w:left="648" w:hanging="648"/>
      </w:pPr>
      <w:r>
        <w:rPr>
          <w:b/>
        </w:rPr>
        <w:t>5.11.3</w:t>
        <w:tab/>
      </w:r>
      <w:r>
        <w:rPr>
          <w:b w:val="0"/>
        </w:rPr>
        <w:t xml:space="preserve">A second staff member delegated consent, or the Quality Lead, reviews each signed consent and re-consent against F-301-02 and the checklist in section 5.6.5 before randomization or first dose, and within </w:t>
      </w:r>
      <w:r>
        <w:rPr>
          <w:b w:val="0"/>
          <w:highlight w:val="green"/>
        </w:rPr>
        <w:t>[DEFAULT: 1 business day]</w:t>
      </w:r>
      <w:r>
        <w:rPr>
          <w:b w:val="0"/>
        </w:rPr>
        <w:t xml:space="preserve"> of signature. Where screening procedures happen the same day as consent, the person obtaining consent completes the F-301-01 checklist before any study procedure, and the second-person review follows, still before randomization or first dose and within the same business-day limit. The reviewer records the review on F-301-01. The Quality Lead does not QC consents they obtained. This 100% review is the consent exception to the sampling in the internal QC plan (SOP-700): consents are never sampled.</w:t>
      </w:r>
    </w:p>
    <w:p>
      <w:pPr>
        <w:pStyle w:val="Heading2"/>
      </w:pPr>
      <w:r>
        <w:t>5.12 Consent errors</w:t>
      </w:r>
    </w:p>
    <w:p>
      <w:pPr>
        <w:tabs>
          <w:tab w:pos="648" w:val="left"/>
        </w:tabs>
        <w:ind w:left="648" w:hanging="648"/>
      </w:pPr>
      <w:r>
        <w:rPr>
          <w:b/>
        </w:rPr>
        <w:t>5.12.1</w:t>
        <w:tab/>
      </w:r>
      <w:r>
        <w:rPr>
          <w:b w:val="0"/>
        </w:rPr>
        <w:t>A consent error is a defect found after a study procedure has started or after the participant has left; defects corrected in session under section 5.6.5.1 are not consent errors. Consent errors include, for example: wrong or superseded version signed; missing or incorrect signature, date or page; LAR or parent without verified authority; study procedure before consent; consent by a person not delegated; missing witness or interpreter where required; participant date written by staff.</w:t>
      </w:r>
    </w:p>
    <w:p>
      <w:pPr>
        <w:tabs>
          <w:tab w:pos="648" w:val="left"/>
        </w:tabs>
        <w:ind w:left="648" w:hanging="648"/>
      </w:pPr>
      <w:r>
        <w:rPr>
          <w:b/>
        </w:rPr>
        <w:t>5.12.2</w:t>
        <w:tab/>
      </w:r>
      <w:r>
        <w:rPr>
          <w:b w:val="0"/>
        </w:rPr>
        <w:t>The person who finds the error tells the PI and the Regulatory Coordinator the same day (SOP-308 5.4.1.1). The PI assesses the effect on the participant's rights and safety and decides corrective action. The CRC records the error as a protocol deviation on F-308-01 (SOP-308) and reports it to the sponsor. The Regulatory Coordinator opens F-502-01 and reports the error to the IRB where its reportable-event policy requires, within the IRB's window (SOP-308 5.5; SOP-502).</w:t>
      </w:r>
    </w:p>
    <w:p>
      <w:pPr>
        <w:tabs>
          <w:tab w:pos="648" w:val="left"/>
        </w:tabs>
        <w:ind w:left="648" w:hanging="648"/>
      </w:pPr>
      <w:r>
        <w:rPr>
          <w:b/>
        </w:rPr>
        <w:t>5.12.3</w:t>
        <w:tab/>
      </w:r>
      <w:r>
        <w:rPr>
          <w:b w:val="0"/>
        </w:rPr>
        <w:t>Consent errors are never corrected by backdating. Specifically:</w:t>
      </w:r>
    </w:p>
    <w:p>
      <w:pPr>
        <w:pStyle w:val="ListBullet"/>
        <w:spacing w:after="40"/>
        <w:ind w:left="1008" w:hanging="259"/>
      </w:pPr>
      <w:r>
        <w:rPr>
          <w:b w:val="0"/>
        </w:rPr>
        <w:t>a missing signature or date is not added later with an earlier date; if the person whose signature is missing signs later, they write the actual date they sign, and the CRC records the late entry and the reason in F-306-01 Note to File</w:t>
      </w:r>
    </w:p>
    <w:p>
      <w:pPr>
        <w:pStyle w:val="ListBullet"/>
        <w:spacing w:after="40"/>
        <w:ind w:left="1008" w:hanging="259"/>
      </w:pPr>
      <w:r>
        <w:rPr>
          <w:b w:val="0"/>
        </w:rPr>
        <w:t>if the wrong version was signed, the participant is consented on the current version at the earliest opportunity, dated with the actual date, and the original form is kept, not destroyed</w:t>
      </w:r>
    </w:p>
    <w:p>
      <w:pPr>
        <w:pStyle w:val="ListBullet"/>
        <w:spacing w:after="40"/>
        <w:ind w:left="1008" w:hanging="259"/>
      </w:pPr>
      <w:r>
        <w:rPr>
          <w:b w:val="0"/>
        </w:rPr>
        <w:t>if a procedure took place before consent, consent is obtained before any further procedure, and the sponsor and IRB decide whether data from the earlier procedure may be used</w:t>
      </w:r>
    </w:p>
    <w:p>
      <w:pPr>
        <w:tabs>
          <w:tab w:pos="648" w:val="left"/>
        </w:tabs>
        <w:ind w:left="648" w:hanging="648"/>
      </w:pPr>
      <w:r>
        <w:rPr>
          <w:b/>
        </w:rPr>
        <w:t>5.12.4</w:t>
        <w:tab/>
      </w:r>
      <w:r>
        <w:rPr>
          <w:b w:val="0"/>
        </w:rPr>
        <w:t>Corrections to entries on a consent form follow good documentation practice: a single line through the error, the correct entry, and the initials and current date of the person who made the original entry. Entries made by the participant or LAR are corrected only by them.</w:t>
      </w:r>
    </w:p>
    <w:p>
      <w:pPr>
        <w:tabs>
          <w:tab w:pos="648" w:val="left"/>
        </w:tabs>
        <w:ind w:left="648" w:hanging="648"/>
      </w:pPr>
      <w:r>
        <w:rPr>
          <w:b/>
        </w:rPr>
        <w:t>5.12.5</w:t>
        <w:tab/>
      </w:r>
      <w:r>
        <w:rPr>
          <w:b w:val="0"/>
        </w:rPr>
        <w:t>The Quality Lead trends consent errors in internal QC (SOP-700) and opens a CAPA under SOP-308 5.6.2 or SOP-703 5.1.2, including for any important (major) consent deviation and when the same type of error recurs.</w:t>
      </w:r>
    </w:p>
    <w:p>
      <w:pPr>
        <w:pStyle w:val="Heading2"/>
      </w:pPr>
      <w:r>
        <w:t>5.13 Ongoing consent and new information</w:t>
      </w:r>
    </w:p>
    <w:p>
      <w:pPr>
        <w:tabs>
          <w:tab w:pos="648" w:val="left"/>
        </w:tabs>
        <w:ind w:left="648" w:hanging="648"/>
      </w:pPr>
      <w:r>
        <w:rPr>
          <w:b/>
        </w:rPr>
        <w:t>5.13.1</w:t>
        <w:tab/>
      </w:r>
      <w:r>
        <w:rPr>
          <w:b w:val="0"/>
        </w:rPr>
        <w:t>Consent continues for the whole of participation. Staff confirm at visits that the participant still wishes to take part and record it in the visit note.</w:t>
      </w:r>
    </w:p>
    <w:p>
      <w:pPr>
        <w:tabs>
          <w:tab w:pos="648" w:val="left"/>
        </w:tabs>
        <w:ind w:left="648" w:hanging="648"/>
      </w:pPr>
      <w:r>
        <w:rPr>
          <w:b/>
        </w:rPr>
        <w:t>5.13.2</w:t>
        <w:tab/>
      </w:r>
      <w:r>
        <w:rPr>
          <w:b w:val="0"/>
        </w:rPr>
        <w:t xml:space="preserve">When new information becomes available that may affect a participant's willingness to continue, the participant or LAR is told at the next contact and no later than </w:t>
      </w:r>
      <w:r>
        <w:rPr>
          <w:b w:val="0"/>
          <w:highlight w:val="green"/>
        </w:rPr>
        <w:t>[DEFAULT: 10 business days]</w:t>
      </w:r>
      <w:r>
        <w:rPr>
          <w:b w:val="0"/>
        </w:rPr>
        <w:t xml:space="preserve"> after the site receives the information or, where the IRB must approve the communication, after that approval (sooner if the IRB, sponsor or PI directs), and the communication and the participant's decision to continue are documented (21 CFR 50.25(b)(5); ICH E6(R3) Annex 1, 2.8.2). Urgent safety information is given by phone or at the next contact without waiting for a revised consent form, using the sponsor or IRB-approved communication where one exists; reportable new information is assessed per SOP-502.</w:t>
      </w:r>
    </w:p>
    <w:p>
      <w:pPr>
        <w:tabs>
          <w:tab w:pos="648" w:val="left"/>
        </w:tabs>
        <w:ind w:left="648" w:hanging="648"/>
      </w:pPr>
      <w:r>
        <w:rPr>
          <w:b/>
        </w:rPr>
        <w:t>5.13.3</w:t>
        <w:tab/>
      </w:r>
      <w:r>
        <w:rPr>
          <w:b w:val="0"/>
        </w:rPr>
        <w:t>When the IRB approves a revised consent form, the Regulatory Coordinator records on F-301-02 which participants must re-consent (for example all active participants, only those still on treatment, or new participants only), as directed by the IRB and sponsor.</w:t>
      </w:r>
    </w:p>
    <w:p>
      <w:pPr>
        <w:tabs>
          <w:tab w:pos="648" w:val="left"/>
        </w:tabs>
        <w:ind w:left="648" w:hanging="648"/>
      </w:pPr>
      <w:r>
        <w:rPr>
          <w:b/>
        </w:rPr>
        <w:t>5.13.4</w:t>
        <w:tab/>
      </w:r>
      <w:r>
        <w:rPr>
          <w:b w:val="0"/>
        </w:rPr>
        <w:t>The CRC re-consents each affected participant at their next visit or sooner if the IRB, sponsor or PI directs, following sections 5.4 to 5.6 and 5.11. The CRC tracks completion and reports any participant not re-consented within the required time to the PI.</w:t>
      </w:r>
    </w:p>
    <w:p>
      <w:pPr>
        <w:tabs>
          <w:tab w:pos="648" w:val="left"/>
        </w:tabs>
        <w:ind w:left="648" w:hanging="648"/>
      </w:pPr>
      <w:r>
        <w:rPr>
          <w:b/>
        </w:rPr>
        <w:t>5.13.5</w:t>
        <w:tab/>
      </w:r>
      <w:r>
        <w:rPr>
          <w:b/>
        </w:rPr>
        <w:t>Minor reaching the age of majority.</w:t>
      </w:r>
      <w:r>
        <w:rPr>
          <w:b w:val="0"/>
        </w:rPr>
        <w:t xml:space="preserve"> When an enrolled child reaches the age of majority recorded in Appendix A, the participant is consented as an adult on the IRB-approved adult form before further study procedures, unless the IRB has determined otherwise (ICH E6(R3) Annex 1, 2.8.12). The CRC tracks birthdays of enrolled minors on F-301-02 or the study tracker.</w:t>
      </w:r>
    </w:p>
    <w:p>
      <w:pPr>
        <w:tabs>
          <w:tab w:pos="648" w:val="left"/>
        </w:tabs>
        <w:ind w:left="648" w:hanging="648"/>
      </w:pPr>
      <w:r>
        <w:rPr>
          <w:b/>
        </w:rPr>
        <w:t>5.13.6</w:t>
        <w:tab/>
      </w:r>
      <w:r>
        <w:rPr>
          <w:b/>
        </w:rPr>
        <w:t>LAR-consented participant who regains capacity.</w:t>
      </w:r>
      <w:r>
        <w:rPr>
          <w:b w:val="0"/>
        </w:rPr>
        <w:t xml:space="preserve"> When an adult enrolled with LAR consent regains capacity, the participant is asked for their own consent on the IRB-approved form as soon as practical. If the participant declines, they are withdrawn per SOP-309.</w:t>
      </w:r>
    </w:p>
    <w:p>
      <w:pPr>
        <w:tabs>
          <w:tab w:pos="648" w:val="left"/>
        </w:tabs>
        <w:ind w:left="648" w:hanging="648"/>
      </w:pPr>
      <w:r>
        <w:rPr>
          <w:b/>
        </w:rPr>
        <w:t>5.13.7</w:t>
        <w:tab/>
      </w:r>
      <w:r>
        <w:rPr>
          <w:b w:val="0"/>
        </w:rPr>
        <w:t>When a new LAR or guardian takes over, staff verify the new person's authority (section 5.3.4) and obtain their consent if the IRB requires.</w:t>
      </w:r>
    </w:p>
    <w:p>
      <w:pPr>
        <w:pStyle w:val="Heading2"/>
      </w:pPr>
      <w:r>
        <w:t>5.14 Exceptions, waivers and alterations</w:t>
      </w:r>
    </w:p>
    <w:p>
      <w:pPr>
        <w:tabs>
          <w:tab w:pos="648" w:val="left"/>
        </w:tabs>
        <w:ind w:left="648" w:hanging="648"/>
      </w:pPr>
      <w:r>
        <w:rPr>
          <w:b/>
        </w:rPr>
        <w:t>5.14.1</w:t>
        <w:tab/>
      </w:r>
      <w:r>
        <w:rPr>
          <w:b w:val="0"/>
        </w:rPr>
        <w:t>Only the IRB may waive or alter informed consent or its documentation. Staff never decide on their own that consent or documentation is not needed.</w:t>
      </w:r>
    </w:p>
    <w:p>
      <w:pPr>
        <w:tabs>
          <w:tab w:pos="648" w:val="left"/>
        </w:tabs>
        <w:ind w:left="648" w:hanging="648"/>
      </w:pPr>
      <w:r>
        <w:rPr>
          <w:b/>
        </w:rPr>
        <w:t>5.14.2</w:t>
        <w:tab/>
      </w:r>
      <w:r>
        <w:rPr>
          <w:b w:val="0"/>
        </w:rPr>
        <w:t>For FDA-regulated research, the IRB may:</w:t>
      </w:r>
    </w:p>
    <w:p>
      <w:pPr>
        <w:pStyle w:val="ListBullet"/>
        <w:spacing w:after="40"/>
        <w:ind w:left="1008" w:hanging="259"/>
      </w:pPr>
      <w:r>
        <w:rPr>
          <w:b w:val="0"/>
        </w:rPr>
        <w:t>waive or alter some or all elements of consent for a minimal-risk clinical investigation that meets 21 CFR 50.22</w:t>
      </w:r>
    </w:p>
    <w:p>
      <w:pPr>
        <w:pStyle w:val="ListBullet"/>
        <w:spacing w:after="40"/>
        <w:ind w:left="1008" w:hanging="259"/>
      </w:pPr>
      <w:r>
        <w:rPr>
          <w:b w:val="0"/>
        </w:rPr>
        <w:t>waive documentation of consent under 21 CFR 56.109(c), in which case the IRB may require a written statement to be given to participants</w:t>
      </w:r>
    </w:p>
    <w:p>
      <w:pPr>
        <w:tabs>
          <w:tab w:pos="648" w:val="left"/>
        </w:tabs>
        <w:ind w:left="648" w:hanging="648"/>
      </w:pPr>
      <w:r>
        <w:rPr>
          <w:b/>
        </w:rPr>
        <w:t>5.14.3</w:t>
        <w:tab/>
      </w:r>
      <w:r>
        <w:rPr>
          <w:b/>
        </w:rPr>
        <w:t>Emergency research exception (21 CFR 50.24).</w:t>
      </w:r>
      <w:r>
        <w:rPr>
          <w:b w:val="0"/>
        </w:rPr>
        <w:t xml:space="preserve"> Research without consent in emergency settings is conducted only when the study has a separate IND or IDE that permits it, the IRB has approved it under 50.24, and the protocol and IRB-approved procedures for contacting the LAR or family and informing the participant are followed. The site follows the protocol's procedures for each enrolled participant.</w:t>
      </w:r>
    </w:p>
    <w:p>
      <w:pPr>
        <w:tabs>
          <w:tab w:pos="648" w:val="left"/>
        </w:tabs>
        <w:ind w:left="648" w:hanging="648"/>
      </w:pPr>
      <w:r>
        <w:rPr>
          <w:b/>
        </w:rPr>
        <w:t>5.14.4</w:t>
        <w:tab/>
      </w:r>
      <w:r>
        <w:rPr>
          <w:b/>
        </w:rPr>
        <w:t>Exception from consent for an individual in a life-threatening situation (21 CFR 50.23).</w:t>
      </w:r>
      <w:r>
        <w:rPr>
          <w:b w:val="0"/>
        </w:rPr>
        <w:t xml:space="preserve"> Use of a test article without consent under 50.23 is rare at independent sites and requires written certification by the investigator and a physician not otherwise participating in the investigation before use (21 CFR 50.23(a)). If there is not time to obtain the independent physician's determination, the investigator's determination is reviewed and evaluated in writing by an independent physician within 5 working days after use (50.23(b)). The documentation is submitted to the IRB within 5 working days after use (50.23(c)). The PI decides whether 50.23 applies and notifies the sponsor.</w:t>
      </w:r>
    </w:p>
    <w:p>
      <w:pPr>
        <w:tabs>
          <w:tab w:pos="648" w:val="left"/>
        </w:tabs>
        <w:ind w:left="648" w:hanging="648"/>
      </w:pPr>
      <w:r>
        <w:rPr>
          <w:b/>
        </w:rPr>
        <w:t>5.14.5</w:t>
        <w:tab/>
      </w:r>
      <w:r>
        <w:rPr>
          <w:b w:val="0"/>
        </w:rPr>
        <w:t>Any waiver or alteration, and its scope, is recorded in the study consent checklist (study page of F-301-02) and filed in the ISF.</w:t>
      </w:r>
    </w:p>
    <w:p>
      <w:pPr>
        <w:pStyle w:val="Heading2"/>
      </w:pPr>
      <w:r>
        <w:t>5.15 Withdrawal of consent</w:t>
      </w:r>
    </w:p>
    <w:p>
      <w:pPr>
        <w:tabs>
          <w:tab w:pos="648" w:val="left"/>
        </w:tabs>
        <w:ind w:left="648" w:hanging="648"/>
      </w:pPr>
      <w:r>
        <w:rPr>
          <w:b/>
        </w:rPr>
        <w:t>5.15.1</w:t>
        <w:tab/>
      </w:r>
      <w:r>
        <w:rPr>
          <w:b w:val="0"/>
        </w:rPr>
        <w:t>A participant or LAR may withdraw consent at any time, orally or in writing. Withdrawal, the follow-up the participant agrees to, and handling of data already collected follow SOP-309.</w:t>
      </w:r>
    </w:p>
    <w:p>
      <w:pPr>
        <w:pStyle w:val="Heading1"/>
      </w:pPr>
      <w:r>
        <w:t>6. Related Forms and SOPs</w:t>
      </w:r>
    </w:p>
    <w:p>
      <w:pPr>
        <w:pStyle w:val="ListBullet"/>
        <w:spacing w:after="40"/>
        <w:ind w:left="360" w:hanging="259"/>
      </w:pPr>
      <w:r>
        <w:rPr>
          <w:b w:val="0"/>
        </w:rPr>
        <w:t>F-301-01 Informed Consent Process Note</w:t>
      </w:r>
    </w:p>
    <w:p>
      <w:pPr>
        <w:pStyle w:val="ListBullet"/>
        <w:spacing w:after="40"/>
        <w:ind w:left="360" w:hanging="259"/>
      </w:pPr>
      <w:r>
        <w:rPr>
          <w:b w:val="0"/>
        </w:rPr>
        <w:t>F-301-02 Consent Form Version Control Log</w:t>
      </w:r>
    </w:p>
    <w:p>
      <w:pPr>
        <w:pStyle w:val="ListBullet"/>
        <w:spacing w:after="40"/>
        <w:ind w:left="360" w:hanging="259"/>
      </w:pPr>
      <w:r>
        <w:rPr>
          <w:b w:val="0"/>
        </w:rPr>
        <w:t>F-302-01 Delegation of Authority Log</w:t>
      </w:r>
    </w:p>
    <w:p>
      <w:pPr>
        <w:pStyle w:val="ListBullet"/>
        <w:spacing w:after="40"/>
        <w:ind w:left="360" w:hanging="259"/>
      </w:pPr>
      <w:r>
        <w:rPr>
          <w:b w:val="0"/>
        </w:rPr>
        <w:t>F-103-01 Staff Training Log</w:t>
      </w:r>
    </w:p>
    <w:p>
      <w:pPr>
        <w:pStyle w:val="ListBullet"/>
        <w:spacing w:after="40"/>
        <w:ind w:left="360" w:hanging="259"/>
      </w:pPr>
      <w:r>
        <w:rPr>
          <w:b w:val="0"/>
        </w:rPr>
        <w:t>F-306-01 Note to File</w:t>
      </w:r>
    </w:p>
    <w:p>
      <w:pPr>
        <w:pStyle w:val="ListBullet"/>
        <w:spacing w:after="40"/>
        <w:ind w:left="360" w:hanging="259"/>
      </w:pPr>
      <w:r>
        <w:rPr>
          <w:b w:val="0"/>
        </w:rPr>
        <w:t>F-308-01 Protocol Deviation Log</w:t>
      </w:r>
    </w:p>
    <w:p>
      <w:pPr>
        <w:pStyle w:val="ListBullet"/>
        <w:spacing w:after="40"/>
        <w:ind w:left="360" w:hanging="259"/>
      </w:pPr>
      <w:r>
        <w:rPr>
          <w:b w:val="0"/>
        </w:rPr>
        <w:t>F-502-01 Reportable New Information Assessment</w:t>
      </w:r>
    </w:p>
    <w:p>
      <w:pPr>
        <w:pStyle w:val="ListBullet"/>
        <w:spacing w:after="40"/>
        <w:ind w:left="360" w:hanging="259"/>
      </w:pPr>
      <w:r>
        <w:rPr>
          <w:b w:val="0"/>
        </w:rPr>
        <w:t>Appendix A State Law Worksheet</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SOP-300 Participant Recruitment, Pre-Screening and Advertising</w:t>
      </w:r>
    </w:p>
    <w:p>
      <w:pPr>
        <w:pStyle w:val="ListBullet"/>
        <w:spacing w:after="40"/>
        <w:ind w:left="360" w:hanging="259"/>
      </w:pPr>
      <w:r>
        <w:rPr>
          <w:b w:val="0"/>
        </w:rPr>
        <w:t>SOP-302 Delegation of Authority</w:t>
      </w:r>
    </w:p>
    <w:p>
      <w:pPr>
        <w:pStyle w:val="ListBullet"/>
        <w:spacing w:after="40"/>
        <w:ind w:left="360" w:hanging="259"/>
      </w:pPr>
      <w:r>
        <w:rPr>
          <w:b w:val="0"/>
        </w:rPr>
        <w:t>SOP-303 Screening, Eligibility Verification and Enrollment</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SOP-308 Protocol Deviations and Noncompliance</w:t>
      </w:r>
    </w:p>
    <w:p>
      <w:pPr>
        <w:pStyle w:val="ListBullet"/>
        <w:spacing w:after="40"/>
        <w:ind w:left="360" w:hanging="259"/>
      </w:pPr>
      <w:r>
        <w:rPr>
          <w:b w:val="0"/>
        </w:rPr>
        <w:t>SOP-309 Participant Retention, Withdrawal and Lost to Follow-Up</w:t>
      </w:r>
    </w:p>
    <w:p>
      <w:pPr>
        <w:pStyle w:val="ListBullet"/>
        <w:spacing w:after="40"/>
        <w:ind w:left="360" w:hanging="259"/>
      </w:pPr>
      <w:r>
        <w:rPr>
          <w:b w:val="0"/>
        </w:rPr>
        <w:t>SOP-313 Decentralized Trial Elements (Remote Visits, Home Health, Direct-to-Participant IP)</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SOP-703 Corrective and Preventive Action (CAPA)</w:t>
      </w:r>
    </w:p>
    <w:p>
      <w:pPr>
        <w:pStyle w:val="ListBullet"/>
        <w:spacing w:after="40"/>
        <w:ind w:left="360" w:hanging="259"/>
      </w:pPr>
      <w:r>
        <w:rPr>
          <w:b w:val="0"/>
        </w:rPr>
        <w:t>SOP-904 Shared Staff, Cross-Site Coverage and Central Services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50</w:t>
            </w:r>
          </w:p>
        </w:tc>
        <w:tc>
          <w:tcPr>
            <w:tcW w:type="dxa" w:w="6946"/>
          </w:tcPr>
          <w:p>
            <w:pPr>
              <w:spacing w:after="0"/>
            </w:pPr>
            <w:r>
              <w:rPr>
                <w:b w:val="0"/>
                <w:sz w:val="19"/>
              </w:rPr>
              <w:t>Protection of Human Subjects (Subpart B Informed Consent; Subpart D Additional Safeguards for Children)</w:t>
            </w:r>
          </w:p>
        </w:tc>
      </w:tr>
      <w:tr>
        <w:trPr>
          <w:cantSplit w:val="true"/>
        </w:trPr>
        <w:tc>
          <w:tcPr>
            <w:tcW w:type="dxa" w:w="2701"/>
          </w:tcPr>
          <w:p>
            <w:pPr>
              <w:spacing w:after="0"/>
            </w:pPr>
            <w:r>
              <w:rPr>
                <w:b w:val="0"/>
                <w:sz w:val="19"/>
              </w:rPr>
              <w:t>21 CFR 50.22</w:t>
            </w:r>
          </w:p>
        </w:tc>
        <w:tc>
          <w:tcPr>
            <w:tcW w:type="dxa" w:w="6946"/>
          </w:tcPr>
          <w:p>
            <w:pPr>
              <w:spacing w:after="0"/>
            </w:pPr>
            <w:r>
              <w:rPr>
                <w:b w:val="0"/>
                <w:sz w:val="19"/>
              </w:rPr>
              <w:t>Exception from informed consent requirements for minimal risk clinical investigations (final rule, December 2023)</w:t>
            </w:r>
          </w:p>
        </w:tc>
      </w:tr>
      <w:tr>
        <w:trPr>
          <w:cantSplit w:val="true"/>
        </w:trPr>
        <w:tc>
          <w:tcPr>
            <w:tcW w:type="dxa" w:w="2701"/>
          </w:tcPr>
          <w:p>
            <w:pPr>
              <w:spacing w:after="0"/>
            </w:pPr>
            <w:r>
              <w:rPr>
                <w:b w:val="0"/>
                <w:sz w:val="19"/>
              </w:rPr>
              <w:t>21 CFR 50.23 and 50.24</w:t>
            </w:r>
          </w:p>
        </w:tc>
        <w:tc>
          <w:tcPr>
            <w:tcW w:type="dxa" w:w="6946"/>
          </w:tcPr>
          <w:p>
            <w:pPr>
              <w:spacing w:after="0"/>
            </w:pPr>
            <w:r>
              <w:rPr>
                <w:b w:val="0"/>
                <w:sz w:val="19"/>
              </w:rPr>
              <w:t>Exceptions from the general requirements; emergency research</w:t>
            </w:r>
          </w:p>
        </w:tc>
      </w:tr>
      <w:tr>
        <w:trPr>
          <w:cantSplit w:val="true"/>
        </w:trPr>
        <w:tc>
          <w:tcPr>
            <w:tcW w:type="dxa" w:w="2701"/>
          </w:tcPr>
          <w:p>
            <w:pPr>
              <w:spacing w:after="0"/>
            </w:pPr>
            <w:r>
              <w:rPr>
                <w:b w:val="0"/>
                <w:sz w:val="19"/>
              </w:rPr>
              <w:t>21 CFR 50.27</w:t>
            </w:r>
          </w:p>
        </w:tc>
        <w:tc>
          <w:tcPr>
            <w:tcW w:type="dxa" w:w="6946"/>
          </w:tcPr>
          <w:p>
            <w:pPr>
              <w:spacing w:after="0"/>
            </w:pPr>
            <w:r>
              <w:rPr>
                <w:b w:val="0"/>
                <w:sz w:val="19"/>
              </w:rPr>
              <w:t>Documentation of informed consent</w:t>
            </w:r>
          </w:p>
        </w:tc>
      </w:tr>
      <w:tr>
        <w:trPr>
          <w:cantSplit w:val="true"/>
        </w:trPr>
        <w:tc>
          <w:tcPr>
            <w:tcW w:type="dxa" w:w="2701"/>
          </w:tcPr>
          <w:p>
            <w:pPr>
              <w:spacing w:after="0"/>
            </w:pPr>
            <w:r>
              <w:rPr>
                <w:b w:val="0"/>
                <w:sz w:val="19"/>
              </w:rPr>
              <w:t>21 CFR 56.109(c)</w:t>
            </w:r>
          </w:p>
        </w:tc>
        <w:tc>
          <w:tcPr>
            <w:tcW w:type="dxa" w:w="6946"/>
          </w:tcPr>
          <w:p>
            <w:pPr>
              <w:spacing w:after="0"/>
            </w:pPr>
            <w:r>
              <w:rPr>
                <w:b w:val="0"/>
                <w:sz w:val="19"/>
              </w:rPr>
              <w:t>IRB waiver of documentation of consent</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21 CFR 312.60 and 312.62(b)</w:t>
            </w:r>
          </w:p>
        </w:tc>
        <w:tc>
          <w:tcPr>
            <w:tcW w:type="dxa" w:w="6946"/>
          </w:tcPr>
          <w:p>
            <w:pPr>
              <w:spacing w:after="0"/>
            </w:pPr>
            <w:r>
              <w:rPr>
                <w:b w:val="0"/>
                <w:sz w:val="19"/>
              </w:rPr>
              <w:t>General responsibilities of investigators; case histories</w:t>
            </w:r>
          </w:p>
        </w:tc>
      </w:tr>
      <w:tr>
        <w:trPr>
          <w:cantSplit w:val="true"/>
        </w:trPr>
        <w:tc>
          <w:tcPr>
            <w:tcW w:type="dxa" w:w="2701"/>
          </w:tcPr>
          <w:p>
            <w:pPr>
              <w:spacing w:after="0"/>
            </w:pPr>
            <w:r>
              <w:rPr>
                <w:b w:val="0"/>
                <w:sz w:val="19"/>
              </w:rPr>
              <w:t>21 CFR 812.100 and 812.140(a)(3)</w:t>
            </w:r>
          </w:p>
        </w:tc>
        <w:tc>
          <w:tcPr>
            <w:tcW w:type="dxa" w:w="6946"/>
          </w:tcPr>
          <w:p>
            <w:pPr>
              <w:spacing w:after="0"/>
            </w:pPr>
            <w:r>
              <w:rPr>
                <w:b w:val="0"/>
                <w:sz w:val="19"/>
              </w:rPr>
              <w:t>Investigator responsibilities and records (devices)</w:t>
            </w:r>
          </w:p>
        </w:tc>
      </w:tr>
      <w:tr>
        <w:trPr>
          <w:cantSplit w:val="true"/>
        </w:trPr>
        <w:tc>
          <w:tcPr>
            <w:tcW w:type="dxa" w:w="2701"/>
          </w:tcPr>
          <w:p>
            <w:pPr>
              <w:spacing w:after="0"/>
            </w:pPr>
            <w:r>
              <w:rPr>
                <w:b w:val="0"/>
                <w:sz w:val="19"/>
              </w:rPr>
              <w:t>45 CFR 46 (2018 revision)</w:t>
            </w:r>
          </w:p>
        </w:tc>
        <w:tc>
          <w:tcPr>
            <w:tcW w:type="dxa" w:w="6946"/>
          </w:tcPr>
          <w:p>
            <w:pPr>
              <w:spacing w:after="0"/>
            </w:pPr>
            <w:r>
              <w:rPr>
                <w:b w:val="0"/>
                <w:sz w:val="19"/>
              </w:rPr>
              <w:t>Common Rule (federally funded research only)</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HIPAA authorization</w:t>
            </w:r>
          </w:p>
        </w:tc>
      </w:tr>
      <w:tr>
        <w:trPr>
          <w:cantSplit w:val="true"/>
        </w:trPr>
        <w:tc>
          <w:tcPr>
            <w:tcW w:type="dxa" w:w="2701"/>
          </w:tcPr>
          <w:p>
            <w:pPr>
              <w:spacing w:after="0"/>
            </w:pPr>
            <w:r>
              <w:rPr>
                <w:b w:val="0"/>
                <w:sz w:val="19"/>
              </w:rPr>
              <w:t>ICH E6(R3) Annex 1, 2.8</w:t>
            </w:r>
          </w:p>
        </w:tc>
        <w:tc>
          <w:tcPr>
            <w:tcW w:type="dxa" w:w="6946"/>
          </w:tcPr>
          <w:p>
            <w:pPr>
              <w:spacing w:after="0"/>
            </w:pPr>
            <w:r>
              <w:rPr>
                <w:b w:val="0"/>
                <w:sz w:val="19"/>
              </w:rPr>
              <w:t>Informed Consent of Trial Participants</w:t>
            </w:r>
          </w:p>
        </w:tc>
      </w:tr>
      <w:tr>
        <w:trPr>
          <w:cantSplit w:val="true"/>
        </w:trPr>
        <w:tc>
          <w:tcPr>
            <w:tcW w:type="dxa" w:w="2701"/>
          </w:tcPr>
          <w:p>
            <w:pPr>
              <w:spacing w:after="0"/>
            </w:pPr>
            <w:r>
              <w:rPr>
                <w:b w:val="0"/>
                <w:sz w:val="19"/>
              </w:rPr>
              <w:t>ICH E6(R3) Annex 1, 2.3</w:t>
            </w:r>
          </w:p>
        </w:tc>
        <w:tc>
          <w:tcPr>
            <w:tcW w:type="dxa" w:w="6946"/>
          </w:tcPr>
          <w:p>
            <w:pPr>
              <w:spacing w:after="0"/>
            </w:pPr>
            <w:r>
              <w:rPr>
                <w:b w:val="0"/>
                <w:sz w:val="19"/>
              </w:rPr>
              <w:t>Investigator Responsibilities (delegation)</w:t>
            </w:r>
          </w:p>
        </w:tc>
      </w:tr>
      <w:tr>
        <w:trPr>
          <w:cantSplit w:val="true"/>
        </w:trPr>
        <w:tc>
          <w:tcPr>
            <w:tcW w:type="dxa" w:w="2701"/>
          </w:tcPr>
          <w:p>
            <w:pPr>
              <w:spacing w:after="0"/>
            </w:pPr>
            <w:r>
              <w:rPr>
                <w:b w:val="0"/>
                <w:sz w:val="19"/>
              </w:rPr>
              <w:t>FDA Guidance (August 2023)</w:t>
            </w:r>
          </w:p>
        </w:tc>
        <w:tc>
          <w:tcPr>
            <w:tcW w:type="dxa" w:w="6946"/>
          </w:tcPr>
          <w:p>
            <w:pPr>
              <w:spacing w:after="0"/>
            </w:pPr>
            <w:r>
              <w:rPr>
                <w:b w:val="0"/>
                <w:sz w:val="19"/>
              </w:rPr>
              <w:t>Informed Consent: Guidance for IRBs, Clinical Investigators, and Sponsors</w:t>
            </w:r>
          </w:p>
        </w:tc>
      </w:tr>
      <w:tr>
        <w:trPr>
          <w:cantSplit w:val="true"/>
        </w:trPr>
        <w:tc>
          <w:tcPr>
            <w:tcW w:type="dxa" w:w="2701"/>
          </w:tcPr>
          <w:p>
            <w:pPr>
              <w:spacing w:after="0"/>
            </w:pPr>
            <w:r>
              <w:rPr>
                <w:b w:val="0"/>
                <w:sz w:val="19"/>
              </w:rPr>
              <w:t>FDA Guidance</w:t>
            </w:r>
          </w:p>
        </w:tc>
        <w:tc>
          <w:tcPr>
            <w:tcW w:type="dxa" w:w="6946"/>
          </w:tcPr>
          <w:p>
            <w:pPr>
              <w:spacing w:after="0"/>
            </w:pPr>
            <w:r>
              <w:rPr>
                <w:b w:val="0"/>
                <w:sz w:val="19"/>
              </w:rPr>
              <w:t>Use of Electronic Informed Consent in Clinical Investigations: Questions and Answers</w:t>
            </w:r>
          </w:p>
        </w:tc>
      </w:tr>
      <w:tr>
        <w:trPr>
          <w:cantSplit w:val="true"/>
        </w:trPr>
        <w:tc>
          <w:tcPr>
            <w:tcW w:type="dxa" w:w="2701"/>
          </w:tcPr>
          <w:p>
            <w:pPr>
              <w:spacing w:after="0"/>
            </w:pPr>
            <w:r>
              <w:rPr>
                <w:b w:val="0"/>
                <w:sz w:val="19"/>
              </w:rPr>
              <w:t>FDA Guidance (1998)</w:t>
            </w:r>
          </w:p>
        </w:tc>
        <w:tc>
          <w:tcPr>
            <w:tcW w:type="dxa" w:w="6946"/>
          </w:tcPr>
          <w:p>
            <w:pPr>
              <w:spacing w:after="0"/>
            </w:pPr>
            <w:r>
              <w:rPr>
                <w:b w:val="0"/>
                <w:sz w:val="19"/>
              </w:rPr>
              <w:t>Screening Tests Prior to Study Enrollment</w:t>
            </w:r>
          </w:p>
        </w:tc>
      </w:tr>
      <w:tr>
        <w:trPr>
          <w:cantSplit w:val="true"/>
        </w:trPr>
        <w:tc>
          <w:tcPr>
            <w:tcW w:type="dxa" w:w="2701"/>
          </w:tcPr>
          <w:p>
            <w:pPr>
              <w:spacing w:after="0"/>
            </w:pPr>
            <w:r>
              <w:rPr>
                <w:b w:val="0"/>
                <w:sz w:val="19"/>
              </w:rPr>
              <w:t>FDA Guidance (Sept 2024)</w:t>
            </w:r>
          </w:p>
        </w:tc>
        <w:tc>
          <w:tcPr>
            <w:tcW w:type="dxa" w:w="6946"/>
          </w:tcPr>
          <w:p>
            <w:pPr>
              <w:spacing w:after="0"/>
            </w:pPr>
            <w:r>
              <w:rPr>
                <w:b w:val="0"/>
                <w:sz w:val="19"/>
              </w:rPr>
              <w:t>Conducting Clinical Trials With Decentralized Elements</w:t>
            </w:r>
          </w:p>
        </w:tc>
      </w:tr>
      <w:tr>
        <w:trPr>
          <w:cantSplit w:val="true"/>
        </w:trPr>
        <w:tc>
          <w:tcPr>
            <w:tcW w:type="dxa" w:w="2701"/>
          </w:tcPr>
          <w:p>
            <w:pPr>
              <w:spacing w:after="0"/>
            </w:pPr>
            <w:r>
              <w:rPr>
                <w:b w:val="0"/>
                <w:sz w:val="19"/>
              </w:rPr>
              <w:t>FDA Guidance (2009)</w:t>
            </w:r>
          </w:p>
        </w:tc>
        <w:tc>
          <w:tcPr>
            <w:tcW w:type="dxa" w:w="6946"/>
          </w:tcPr>
          <w:p>
            <w:pPr>
              <w:spacing w:after="0"/>
            </w:pPr>
            <w:r>
              <w:rPr>
                <w:b w:val="0"/>
                <w:sz w:val="19"/>
              </w:rPr>
              <w:t>Investigator Responsibilities: Protecting the Rights, Safety, and Welfare of Study Subjects</w:t>
            </w:r>
          </w:p>
        </w:tc>
      </w:tr>
      <w:tr>
        <w:trPr>
          <w:cantSplit w:val="true"/>
        </w:trPr>
        <w:tc>
          <w:tcPr>
            <w:tcW w:type="dxa" w:w="2701"/>
          </w:tcPr>
          <w:p>
            <w:pPr>
              <w:spacing w:after="0"/>
            </w:pPr>
            <w:r>
              <w:rPr>
                <w:b w:val="0"/>
                <w:sz w:val="19"/>
              </w:rPr>
              <w:t>FDA Proposed Rule (2022)</w:t>
            </w:r>
          </w:p>
        </w:tc>
        <w:tc>
          <w:tcPr>
            <w:tcW w:type="dxa" w:w="6946"/>
          </w:tcPr>
          <w:p>
            <w:pPr>
              <w:spacing w:after="0"/>
            </w:pPr>
            <w:r>
              <w:rPr>
                <w:b w:val="0"/>
                <w:sz w:val="19"/>
              </w:rPr>
              <w:t>Protection of Human Subjects and Institutional Review Boards (Common Rule harmonization, including key information); proposed, not final; applies if and when finalized</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SOP-301 Informed Consent Process and Documentation</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SOP-301 Informed Consent Process and Documentation</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