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SOP-101</w:t>
      </w:r>
    </w:p>
    <w:p>
      <w:pPr>
        <w:pStyle w:val="Title"/>
        <w:pBdr>
          <w:bottom w:val="single" w:sz="12" w:space="1" w:color="1F3864"/>
        </w:pBdr>
        <w:spacing w:after="120"/>
      </w:pPr>
      <w:r>
        <w:rPr>
          <w:b w:val="0"/>
          <w:color w:val="1F3864"/>
          <w:sz w:val="36"/>
        </w:rPr>
        <w:t>Roles and Responsibilities of the Principal Investigator</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Governance and Quality System</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sets out the duties of the Principal Investigator (PI) at </w:t>
      </w:r>
      <w:r>
        <w:rPr>
          <w:b w:val="0"/>
          <w:highlight w:val="yellow"/>
        </w:rPr>
        <w:t>[SITE NAME]</w:t>
      </w:r>
      <w:r>
        <w:rPr>
          <w:b w:val="0"/>
        </w:rPr>
        <w:t xml:space="preserve"> for FDA-regulated clinical investigations, how the PI documents acceptance of those duties, how the PI oversees the people and parties to whom tasks are delegated, and how investigator coverage is maintained when the PI is absent.</w:t>
      </w:r>
    </w:p>
    <w:p>
      <w:pPr>
        <w:pStyle w:val="Heading1"/>
      </w:pPr>
      <w:r>
        <w:t>2. Scope</w:t>
      </w:r>
    </w:p>
    <w:p>
      <w:pPr/>
      <w:r>
        <w:rPr>
          <w:b w:val="0"/>
        </w:rPr>
        <w:t xml:space="preserve">This SOP applies to every PI and Sub-Investigator (Sub-I) at all </w:t>
      </w:r>
      <w:r>
        <w:rPr>
          <w:b w:val="0"/>
          <w:highlight w:val="yellow"/>
        </w:rPr>
        <w:t>[SITE NAME]</w:t>
      </w:r>
      <w:r>
        <w:rPr>
          <w:b w:val="0"/>
        </w:rPr>
        <w:t xml:space="preserve"> locations, for drug and biologic studies under 21 CFR 312, device studies under 21 CFR 812, and studies that are exempt from an IND or IDE but still subject to 21 CFR 50 and 56. It also applies to all staff who support the PI.</w:t>
      </w:r>
    </w:p>
    <w:p>
      <w:pPr/>
      <w:r>
        <w:rPr>
          <w:b w:val="0"/>
        </w:rPr>
        <w:t>This SOP states the PI's duties and points to the SOPs that hold the detailed procedures. It does not cover sponsor duties held by a PI who also holds the IND or IDE; see SOP-800 Sponsor-Investigator Responsibilities (IND/IDE Holder).</w:t>
      </w:r>
    </w:p>
    <w:p>
      <w:pPr/>
      <w:r>
        <w:rPr>
          <w:b w:val="0"/>
        </w:rPr>
        <w:t>Follow the protocol, sponsor or IRB requirement where it is stricter than this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Holds overall responsibility for the conduct of the study at the site, the rights, safety and well-being of participants, and the reliability of data. Signs the Form FDA 1572 or investigator agreement and the protocol signature page. Personally conducts or supervises the study. Delegates only to qualified, trained persons and parties and oversees their work. Arranges coverage when absent.</w:t>
            </w:r>
          </w:p>
        </w:tc>
      </w:tr>
      <w:tr>
        <w:trPr>
          <w:cantSplit w:val="true"/>
        </w:trPr>
        <w:tc>
          <w:tcPr>
            <w:tcW w:type="dxa" w:w="2701"/>
          </w:tcPr>
          <w:p>
            <w:pPr>
              <w:keepNext/>
              <w:spacing w:after="0"/>
            </w:pPr>
            <w:r>
              <w:rPr>
                <w:b w:val="0"/>
                <w:sz w:val="19"/>
              </w:rPr>
              <w:t>Sub-Investigator (Sub-I)</w:t>
            </w:r>
          </w:p>
        </w:tc>
        <w:tc>
          <w:tcPr>
            <w:tcW w:type="dxa" w:w="6946"/>
          </w:tcPr>
          <w:p>
            <w:pPr>
              <w:keepNext/>
              <w:spacing w:after="0"/>
            </w:pPr>
            <w:r>
              <w:rPr>
                <w:b w:val="0"/>
                <w:sz w:val="19"/>
              </w:rPr>
              <w:t>Performs significant trial-related procedures or makes important trial-related decisions as delegated by the PI. Covers for the PI under a documented coverage arrangement. Reports problems to the PI.</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Confirms before study acceptance that the PI has the time, staff, facilities and equipment needed. Supports the PI with resources and escalates when workload exceeds capacity.</w:t>
            </w:r>
          </w:p>
        </w:tc>
      </w:tr>
      <w:tr>
        <w:trPr>
          <w:cantSplit w:val="true"/>
        </w:trPr>
        <w:tc>
          <w:tcPr>
            <w:tcW w:type="dxa" w:w="2701"/>
          </w:tcPr>
          <w:p>
            <w:pPr>
              <w:keepNext/>
              <w:spacing w:after="0"/>
            </w:pPr>
            <w:r>
              <w:rPr>
                <w:b w:val="0"/>
                <w:sz w:val="19"/>
              </w:rPr>
              <w:t>Quality Lead</w:t>
            </w:r>
          </w:p>
        </w:tc>
        <w:tc>
          <w:tcPr>
            <w:tcW w:type="dxa" w:w="6946"/>
          </w:tcPr>
          <w:p>
            <w:pPr>
              <w:keepNext/>
              <w:spacing w:after="0"/>
            </w:pPr>
            <w:r>
              <w:rPr>
                <w:b w:val="0"/>
                <w:sz w:val="19"/>
              </w:rPr>
              <w:t>Checks through QC and audits that PI oversight is documented. Reports gaps to the PI and Site Director.</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the 1572 or investigator agreement, financial disclosure and CV for PI review and signature. Tracks updates and files signed versions in the ISF. Notifies the sponsor and IRB of investigator changes.</w:t>
            </w:r>
          </w:p>
        </w:tc>
      </w:tr>
      <w:tr>
        <w:trPr>
          <w:cantSplit w:val="true"/>
        </w:trPr>
        <w:tc>
          <w:tcPr>
            <w:tcW w:type="dxa" w:w="2701"/>
          </w:tcPr>
          <w:p>
            <w:pPr>
              <w:keepNext/>
              <w:spacing w:after="0"/>
            </w:pPr>
            <w:r>
              <w:rPr>
                <w:b w:val="0"/>
                <w:sz w:val="19"/>
              </w:rPr>
              <w:t>Clinical Research Coordinator (CRC)</w:t>
            </w:r>
          </w:p>
        </w:tc>
        <w:tc>
          <w:tcPr>
            <w:tcW w:type="dxa" w:w="6946"/>
          </w:tcPr>
          <w:p>
            <w:pPr>
              <w:keepNext/>
              <w:spacing w:after="0"/>
            </w:pPr>
            <w:r>
              <w:rPr>
                <w:b w:val="0"/>
                <w:sz w:val="19"/>
              </w:rPr>
              <w:t>Brings safety information, eligibility questions, deviations and data issues to the PI or covering Sub-I promptly. Prepares records for PI review and signature.</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Perform only tasks delegated to them on the Delegation of Authority Log. Escalate any participant safety concern to an investigator immediately.</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Investigator / Principal Investigator (PI)</w:t>
            </w:r>
          </w:p>
        </w:tc>
        <w:tc>
          <w:tcPr>
            <w:tcW w:type="dxa" w:w="6946"/>
          </w:tcPr>
          <w:p>
            <w:pPr>
              <w:spacing w:after="0"/>
            </w:pPr>
            <w:r>
              <w:rPr>
                <w:b w:val="0"/>
                <w:sz w:val="19"/>
              </w:rPr>
              <w:t>The person responsible for the conduct of the clinical trial at the site, including the participants for whom that person has responsibility. If a trial is conducted by a team, the investigator is the responsible leader of the team and is called the principal investigator (ICH E6(R3) Glossary; 21 CFR 312.3, 812.3(i)).</w:t>
            </w:r>
          </w:p>
        </w:tc>
      </w:tr>
      <w:tr>
        <w:trPr>
          <w:cantSplit w:val="true"/>
        </w:trPr>
        <w:tc>
          <w:tcPr>
            <w:tcW w:type="dxa" w:w="2701"/>
          </w:tcPr>
          <w:p>
            <w:pPr>
              <w:spacing w:after="0"/>
            </w:pPr>
            <w:r>
              <w:rPr>
                <w:b w:val="0"/>
                <w:sz w:val="19"/>
              </w:rPr>
              <w:t>Sub-Investigator (Sub-I)</w:t>
            </w:r>
          </w:p>
        </w:tc>
        <w:tc>
          <w:tcPr>
            <w:tcW w:type="dxa" w:w="6946"/>
          </w:tcPr>
          <w:p>
            <w:pPr>
              <w:spacing w:after="0"/>
            </w:pPr>
            <w:r>
              <w:rPr>
                <w:b w:val="0"/>
                <w:sz w:val="19"/>
              </w:rPr>
              <w:t>Any individual member of the clinical trial team designated and under the oversight of the investigator to perform significant trial-related procedures and/or to make important trial-related decisions (ICH E6(R3) Glossary).</w:t>
            </w:r>
          </w:p>
        </w:tc>
      </w:tr>
      <w:tr>
        <w:trPr>
          <w:cantSplit w:val="true"/>
        </w:trPr>
        <w:tc>
          <w:tcPr>
            <w:tcW w:type="dxa" w:w="2701"/>
          </w:tcPr>
          <w:p>
            <w:pPr>
              <w:spacing w:after="0"/>
            </w:pPr>
            <w:r>
              <w:rPr>
                <w:b w:val="0"/>
                <w:sz w:val="19"/>
              </w:rPr>
              <w:t>Form FDA 1572</w:t>
            </w:r>
          </w:p>
        </w:tc>
        <w:tc>
          <w:tcPr>
            <w:tcW w:type="dxa" w:w="6946"/>
          </w:tcPr>
          <w:p>
            <w:pPr>
              <w:spacing w:after="0"/>
            </w:pPr>
            <w:r>
              <w:rPr>
                <w:b w:val="0"/>
                <w:sz w:val="19"/>
              </w:rPr>
              <w:t>Statement of Investigator required by 21 CFR 312.53(c) for studies under an IND. Lists the investigator, research facilities, clinical laboratories, IRB and Sub-Is, and records the investigator's commitments.</w:t>
            </w:r>
          </w:p>
        </w:tc>
      </w:tr>
      <w:tr>
        <w:trPr>
          <w:cantSplit w:val="true"/>
        </w:trPr>
        <w:tc>
          <w:tcPr>
            <w:tcW w:type="dxa" w:w="2701"/>
          </w:tcPr>
          <w:p>
            <w:pPr>
              <w:spacing w:after="0"/>
            </w:pPr>
            <w:r>
              <w:rPr>
                <w:b w:val="0"/>
                <w:sz w:val="19"/>
              </w:rPr>
              <w:t>Investigator Agreement</w:t>
            </w:r>
          </w:p>
        </w:tc>
        <w:tc>
          <w:tcPr>
            <w:tcW w:type="dxa" w:w="6946"/>
          </w:tcPr>
          <w:p>
            <w:pPr>
              <w:spacing w:after="0"/>
            </w:pPr>
            <w:r>
              <w:rPr>
                <w:b w:val="0"/>
                <w:sz w:val="19"/>
              </w:rPr>
              <w:t>The signed agreement a device sponsor obtains from each investigator under 21 CFR 812.43(c), including the investigator's CV, relevant experience, any prior terminated research, commitments and financial disclosure.</w:t>
            </w:r>
          </w:p>
        </w:tc>
      </w:tr>
      <w:tr>
        <w:trPr>
          <w:cantSplit w:val="true"/>
        </w:trPr>
        <w:tc>
          <w:tcPr>
            <w:tcW w:type="dxa" w:w="2701"/>
          </w:tcPr>
          <w:p>
            <w:pPr>
              <w:spacing w:after="0"/>
            </w:pPr>
            <w:r>
              <w:rPr>
                <w:b w:val="0"/>
                <w:sz w:val="19"/>
              </w:rPr>
              <w:t>Delegation</w:t>
            </w:r>
          </w:p>
        </w:tc>
        <w:tc>
          <w:tcPr>
            <w:tcW w:type="dxa" w:w="6946"/>
          </w:tcPr>
          <w:p>
            <w:pPr>
              <w:spacing w:after="0"/>
            </w:pPr>
            <w:r>
              <w:rPr>
                <w:b w:val="0"/>
                <w:sz w:val="19"/>
              </w:rPr>
              <w:t>Assignment by the investigator of trial-related activities to other persons or parties. The investigator retains overall responsibility (ICH E6(R3) Principle 10.1; Annex 1, 2.3.1).</w:t>
            </w:r>
          </w:p>
        </w:tc>
      </w:tr>
      <w:tr>
        <w:trPr>
          <w:cantSplit w:val="true"/>
        </w:trPr>
        <w:tc>
          <w:tcPr>
            <w:tcW w:type="dxa" w:w="2701"/>
          </w:tcPr>
          <w:p>
            <w:pPr>
              <w:spacing w:after="0"/>
            </w:pPr>
            <w:r>
              <w:rPr>
                <w:b w:val="0"/>
                <w:sz w:val="19"/>
              </w:rPr>
              <w:t>Service Provider</w:t>
            </w:r>
          </w:p>
        </w:tc>
        <w:tc>
          <w:tcPr>
            <w:tcW w:type="dxa" w:w="6946"/>
          </w:tcPr>
          <w:p>
            <w:pPr>
              <w:spacing w:after="0"/>
            </w:pPr>
            <w:r>
              <w:rPr>
                <w:b w:val="0"/>
                <w:sz w:val="19"/>
              </w:rPr>
              <w:t>A person or organization (commercial, academic or other) providing a service used by either the sponsor or the investigator to fulfil trial-related activities (ICH E6(R3) Glossary).</w:t>
            </w:r>
          </w:p>
        </w:tc>
      </w:tr>
      <w:tr>
        <w:trPr>
          <w:cantSplit w:val="true"/>
        </w:trPr>
        <w:tc>
          <w:tcPr>
            <w:tcW w:type="dxa" w:w="2701"/>
          </w:tcPr>
          <w:p>
            <w:pPr>
              <w:spacing w:after="0"/>
            </w:pPr>
            <w:r>
              <w:rPr>
                <w:b w:val="0"/>
                <w:sz w:val="19"/>
              </w:rPr>
              <w:t>Covering Investigator</w:t>
            </w:r>
          </w:p>
        </w:tc>
        <w:tc>
          <w:tcPr>
            <w:tcW w:type="dxa" w:w="6946"/>
          </w:tcPr>
          <w:p>
            <w:pPr>
              <w:spacing w:after="0"/>
            </w:pPr>
            <w:r>
              <w:rPr>
                <w:b w:val="0"/>
                <w:sz w:val="19"/>
              </w:rPr>
              <w:t>A Sub-I named in advance to make trial-related medical decisions when the PI is unavailable.</w:t>
            </w:r>
          </w:p>
        </w:tc>
      </w:tr>
      <w:tr>
        <w:trPr>
          <w:cantSplit w:val="true"/>
        </w:trPr>
        <w:tc>
          <w:tcPr>
            <w:tcW w:type="dxa" w:w="2701"/>
          </w:tcPr>
          <w:p>
            <w:pPr>
              <w:spacing w:after="0"/>
            </w:pPr>
            <w:r>
              <w:rPr>
                <w:b w:val="0"/>
                <w:sz w:val="19"/>
              </w:rPr>
              <w:t>Serious Adverse Event (SAE)</w:t>
            </w:r>
          </w:p>
        </w:tc>
        <w:tc>
          <w:tcPr>
            <w:tcW w:type="dxa" w:w="6946"/>
          </w:tcPr>
          <w:p>
            <w:pPr>
              <w:spacing w:after="0"/>
            </w:pPr>
            <w:r>
              <w:rPr>
                <w:b w:val="0"/>
                <w:sz w:val="19"/>
              </w:rPr>
              <w:t>As defined in 21 CFR 312.32(a) and SOP-501 Serious Adverse Event and Expedited Safety Reporting.</w:t>
            </w:r>
          </w:p>
        </w:tc>
      </w:tr>
      <w:tr>
        <w:trPr>
          <w:cantSplit w:val="true"/>
        </w:trPr>
        <w:tc>
          <w:tcPr>
            <w:tcW w:type="dxa" w:w="2701"/>
          </w:tcPr>
          <w:p>
            <w:pPr>
              <w:spacing w:after="0"/>
            </w:pPr>
            <w:r>
              <w:rPr>
                <w:b w:val="0"/>
                <w:sz w:val="19"/>
              </w:rPr>
              <w:t>Unanticipated Adverse Device Effect (UADE)</w:t>
            </w:r>
          </w:p>
        </w:tc>
        <w:tc>
          <w:tcPr>
            <w:tcW w:type="dxa" w:w="6946"/>
          </w:tcPr>
          <w:p>
            <w:pPr>
              <w:spacing w:after="0"/>
            </w:pPr>
            <w:r>
              <w:rPr>
                <w:b w:val="0"/>
                <w:sz w:val="19"/>
              </w:rPr>
              <w:t>As defined in 21 CFR 812.3(s).</w:t>
            </w:r>
          </w:p>
        </w:tc>
      </w:tr>
    </w:tbl>
    <w:p>
      <w:pPr>
        <w:spacing w:after="40"/>
      </w:pPr>
    </w:p>
    <w:p>
      <w:pPr>
        <w:pStyle w:val="Heading1"/>
      </w:pPr>
      <w:r>
        <w:t>5. Procedure</w:t>
      </w:r>
    </w:p>
    <w:p>
      <w:pPr>
        <w:pStyle w:val="Heading2"/>
      </w:pPr>
      <w:r>
        <w:t>5.1 Before accepting a study</w:t>
      </w:r>
    </w:p>
    <w:p>
      <w:pPr>
        <w:tabs>
          <w:tab w:pos="648" w:val="left"/>
        </w:tabs>
        <w:ind w:left="648" w:hanging="648"/>
      </w:pPr>
      <w:r>
        <w:rPr>
          <w:b/>
        </w:rPr>
        <w:t>5.1.1</w:t>
        <w:tab/>
      </w:r>
      <w:r>
        <w:rPr>
          <w:b w:val="0"/>
        </w:rPr>
        <w:t>The PI reviews the protocol, Investigator's Brochure (IB) or device instructions for use, and the feasibility assessment (F-200-01 Study Feasibility Assessment, SOP-200 Study Feasibility and Selection) before the site commits to the study.</w:t>
      </w:r>
    </w:p>
    <w:p>
      <w:pPr>
        <w:tabs>
          <w:tab w:pos="648" w:val="left"/>
        </w:tabs>
        <w:ind w:left="648" w:hanging="648"/>
      </w:pPr>
      <w:r>
        <w:rPr>
          <w:b/>
        </w:rPr>
        <w:t>5.1.2</w:t>
        <w:tab/>
      </w:r>
      <w:r>
        <w:rPr>
          <w:b w:val="0"/>
        </w:rPr>
        <w:t>The PI confirms on F-200-01, with the Site Director:</w:t>
      </w:r>
    </w:p>
    <w:p>
      <w:pPr>
        <w:pStyle w:val="ListBullet"/>
        <w:spacing w:after="40"/>
        <w:ind w:left="1008" w:hanging="259"/>
      </w:pPr>
      <w:r>
        <w:rPr>
          <w:b w:val="0"/>
        </w:rPr>
        <w:t xml:space="preserve">the PI is qualified by education, training and experience for the study population and procedures, and holds a current license in </w:t>
      </w:r>
      <w:r>
        <w:rPr>
          <w:b w:val="0"/>
          <w:highlight w:val="yellow"/>
        </w:rPr>
        <w:t>[STATE]</w:t>
      </w:r>
    </w:p>
    <w:p>
      <w:pPr>
        <w:pStyle w:val="ListBullet"/>
        <w:spacing w:after="40"/>
        <w:ind w:left="1008" w:hanging="259"/>
      </w:pPr>
      <w:r>
        <w:rPr>
          <w:b w:val="0"/>
        </w:rPr>
        <w:t>the PI has enough time for the study for its full duration, taking into account current active studies, clinical practice and other commitments</w:t>
      </w:r>
    </w:p>
    <w:p>
      <w:pPr>
        <w:pStyle w:val="ListBullet"/>
        <w:spacing w:after="40"/>
        <w:ind w:left="1008" w:hanging="259"/>
      </w:pPr>
      <w:r>
        <w:rPr>
          <w:b w:val="0"/>
        </w:rPr>
        <w:t>the site can show a realistic potential to recruit the agreed number of eligible participants in the recruitment period, based on records or current data</w:t>
      </w:r>
    </w:p>
    <w:p>
      <w:pPr>
        <w:pStyle w:val="ListBullet"/>
        <w:spacing w:after="40"/>
        <w:ind w:left="1008" w:hanging="259"/>
      </w:pPr>
      <w:r>
        <w:rPr>
          <w:b w:val="0"/>
        </w:rPr>
        <w:t>qualified staff, facilities, equipment and any needed service providers are available or can be arranged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Set how PI workload is checked (for example, a maximum number of active studies per PI, or a workload score reviewed at feasibility). Record the method here: </w:t>
            </w:r>
            <w:r>
              <w:rPr>
                <w:b w:val="0"/>
                <w:sz w:val="20"/>
                <w:highlight w:val="yellow"/>
              </w:rPr>
              <w:t>[PI WORKLOAD METHOD]</w:t>
            </w:r>
            <w:r>
              <w:rPr>
                <w:b w:val="0"/>
                <w:sz w:val="20"/>
              </w:rPr>
              <w:t>.</w:t>
            </w:r>
          </w:p>
        </w:tc>
      </w:tr>
    </w:tbl>
    <w:p>
      <w:pPr>
        <w:spacing w:after="0"/>
      </w:pPr>
    </w:p>
    <w:p>
      <w:pPr>
        <w:tabs>
          <w:tab w:pos="648" w:val="left"/>
        </w:tabs>
        <w:ind w:left="648" w:hanging="648"/>
      </w:pPr>
      <w:r>
        <w:rPr>
          <w:b/>
        </w:rPr>
        <w:t>5.1.3</w:t>
        <w:tab/>
      </w:r>
      <w:r>
        <w:rPr>
          <w:b w:val="0"/>
        </w:rPr>
        <w:t>The PI declines the study, or the Site Director adds resources, when any item in 5.1.2 cannot be confirmed.</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Office may offer or allocate a study to a member site under SOP-902 Network Study Feasibility, Allocation and Central Contracting (Appendix B, SOP-101 rows). Allocation does not commit the PI. The PI at the member site confirms each item in 5.1.2 and may decline under 5.1.3. The PI workload check counts every active study on which the PI is an investigator at any member site.</w:t>
            </w:r>
          </w:p>
        </w:tc>
      </w:tr>
    </w:tbl>
    <w:p>
      <w:pPr>
        <w:spacing w:after="0"/>
      </w:pPr>
    </w:p>
    <w:p>
      <w:pPr>
        <w:tabs>
          <w:tab w:pos="648" w:val="left"/>
        </w:tabs>
        <w:ind w:left="648" w:hanging="648"/>
      </w:pPr>
      <w:r>
        <w:rPr>
          <w:b/>
        </w:rPr>
        <w:t>5.1.4</w:t>
        <w:tab/>
      </w:r>
      <w:r>
        <w:rPr>
          <w:b w:val="0"/>
        </w:rPr>
        <w:t>The PI completes financial disclosure and site conflict of interest disclosure before the study starts (SOP-104 Conflict of Interest and Financial Disclosure).</w:t>
      </w:r>
    </w:p>
    <w:p>
      <w:pPr>
        <w:pStyle w:val="Heading2"/>
      </w:pPr>
      <w:r>
        <w:t>5.2 Investigator commitments: 1572, investigator agreement and protocol signature</w:t>
      </w:r>
    </w:p>
    <w:p>
      <w:pPr>
        <w:tabs>
          <w:tab w:pos="648" w:val="left"/>
        </w:tabs>
        <w:ind w:left="648" w:hanging="648"/>
      </w:pPr>
      <w:r>
        <w:rPr>
          <w:b/>
        </w:rPr>
        <w:t>5.2.1</w:t>
        <w:tab/>
      </w:r>
      <w:r>
        <w:rPr>
          <w:b w:val="0"/>
        </w:rPr>
        <w:t>For studies under an IND, the PI reviews and signs Form FDA 1572. Before signing, the PI checks that:</w:t>
      </w:r>
    </w:p>
    <w:p>
      <w:pPr>
        <w:pStyle w:val="ListBullet"/>
        <w:spacing w:after="40"/>
        <w:ind w:left="1008" w:hanging="259"/>
      </w:pPr>
      <w:r>
        <w:rPr>
          <w:b w:val="0"/>
        </w:rPr>
        <w:t xml:space="preserve">Section 3 lists every location where the PI's team sees participants or conducts study procedures, including other </w:t>
      </w:r>
      <w:r>
        <w:rPr>
          <w:b w:val="0"/>
          <w:highlight w:val="yellow"/>
        </w:rPr>
        <w:t>[SITE NAME]</w:t>
      </w:r>
      <w:r>
        <w:rPr>
          <w:b w:val="0"/>
        </w:rPr>
        <w:t xml:space="preserve"> locations</w:t>
      </w:r>
    </w:p>
    <w:p>
      <w:pPr>
        <w:pStyle w:val="ListBullet"/>
        <w:spacing w:after="40"/>
        <w:ind w:left="1008" w:hanging="259"/>
      </w:pPr>
      <w:r>
        <w:rPr>
          <w:b w:val="0"/>
        </w:rPr>
        <w:t>Section 4 lists each clinical laboratory or testing facility that directly contributes to or supports the study, including the sponsor's central laboratory and any local laboratory, imaging center or other testing facility the site uses for protocol tests (FDA 1572 FAQs)</w:t>
      </w:r>
    </w:p>
    <w:p>
      <w:pPr>
        <w:pStyle w:val="ListBullet"/>
        <w:spacing w:after="40"/>
        <w:ind w:left="1008" w:hanging="259"/>
      </w:pPr>
      <w:r>
        <w:rPr>
          <w:b w:val="0"/>
        </w:rPr>
        <w:t>Section 5 names the reviewing IRB (</w:t>
      </w:r>
      <w:r>
        <w:rPr>
          <w:b w:val="0"/>
          <w:highlight w:val="yellow"/>
        </w:rPr>
        <w:t>[CENTRAL IRB NAME]</w:t>
      </w:r>
      <w:r>
        <w:rPr>
          <w:b w:val="0"/>
        </w:rPr>
        <w:t xml:space="preserve"> unless otherwise approved)</w:t>
      </w:r>
    </w:p>
    <w:p>
      <w:pPr>
        <w:pStyle w:val="ListBullet"/>
        <w:spacing w:after="40"/>
        <w:ind w:left="1008" w:hanging="259"/>
      </w:pPr>
      <w:r>
        <w:rPr>
          <w:b w:val="0"/>
        </w:rPr>
        <w:t>Section 6 lists each Sub-I who will make a direct and significant contribution to the data</w:t>
      </w:r>
    </w:p>
    <w:p>
      <w:pPr>
        <w:pStyle w:val="ListBullet"/>
        <w:spacing w:after="40"/>
        <w:ind w:left="1008" w:hanging="259"/>
      </w:pPr>
      <w:r>
        <w:rPr>
          <w:b w:val="0"/>
        </w:rPr>
        <w:t>the commitments in Section 9 are understood: conduct per the current protocol, personally conduct or supervise, inform participants and obtain consent, report adverse experiences, read the IB, inform all staff of their obligations, keep records, and use an IRB that complies with 21 CFR 56</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each member site normally has its own PI and its own 1572 or investigator agreement. A PI who conducts a study at more than one member site lists each of those locations in Section 3 only where the PI personally conducts or supervises the study there and the sponsor and IRB accept it. N-Affiliated: using another entity's location or staff under the PI's 1572 also needs a written agreement between the entities (SOP-904 Shared Staff, Cross-Site Coverage and Central Services).</w:t>
            </w:r>
          </w:p>
        </w:tc>
      </w:tr>
    </w:tbl>
    <w:p>
      <w:pPr>
        <w:spacing w:after="0"/>
      </w:pPr>
    </w:p>
    <w:p>
      <w:pPr>
        <w:tabs>
          <w:tab w:pos="648" w:val="left"/>
        </w:tabs>
        <w:ind w:left="648" w:hanging="648"/>
      </w:pPr>
      <w:r>
        <w:rPr>
          <w:b/>
        </w:rPr>
        <w:t>5.2.2</w:t>
        <w:tab/>
      </w:r>
      <w:r>
        <w:rPr>
          <w:b w:val="0"/>
        </w:rPr>
        <w:t>For device studies under an IDE, the PI signs the sponsor's investigator agreement (21 CFR 812.43(c)) and provides a current CV, a statement of relevant experience, an explanation of any prior research that was terminated, and financial disclosure. For non-significant-risk device studies, the PI signs any investigator agreement the sponsor requires.</w:t>
      </w:r>
    </w:p>
    <w:p>
      <w:pPr>
        <w:tabs>
          <w:tab w:pos="648" w:val="left"/>
        </w:tabs>
        <w:ind w:left="648" w:hanging="648"/>
      </w:pPr>
      <w:r>
        <w:rPr>
          <w:b/>
        </w:rPr>
        <w:t>5.2.3</w:t>
        <w:tab/>
      </w:r>
      <w:r>
        <w:rPr>
          <w:b w:val="0"/>
        </w:rPr>
        <w:t>The PI signs the protocol signature page (or an alternative contract confirming agreement with the sponsor) before the study starts, and signs each amendment signature page the sponsor issues.</w:t>
      </w:r>
    </w:p>
    <w:p>
      <w:pPr>
        <w:tabs>
          <w:tab w:pos="648" w:val="left"/>
        </w:tabs>
        <w:ind w:left="648" w:hanging="648"/>
      </w:pPr>
      <w:r>
        <w:rPr>
          <w:b/>
        </w:rPr>
        <w:t>5.2.4</w:t>
        <w:tab/>
      </w:r>
      <w:r>
        <w:rPr>
          <w:b w:val="0"/>
        </w:rPr>
        <w:t>The PI reads the IB (or device report of prior investigations and instructions for use) before the first participant is consented, and reads each IB update when received. The Regulatory Coordinator files the signed IB acknowledgment if the sponsor provides one.</w:t>
      </w:r>
    </w:p>
    <w:p>
      <w:pPr>
        <w:tabs>
          <w:tab w:pos="648" w:val="left"/>
        </w:tabs>
        <w:ind w:left="648" w:hanging="648"/>
      </w:pPr>
      <w:r>
        <w:rPr>
          <w:b/>
        </w:rPr>
        <w:t>5.2.5</w:t>
        <w:tab/>
      </w:r>
      <w:r>
        <w:rPr>
          <w:b w:val="0"/>
        </w:rPr>
        <w:t>A new signed 1572 is needed only when a new PI takes over the study or a new protocol is added under the IND (FDA Form FDA 1572 FAQs, 2010). When other 1572 information changes (a Sub-I is added or leaves, a location or laboratory changes, the IRB changes), the Regulatory Coordinator records the change in the study records and notifies the sponsor promptly; FDA's Form FDA 1572 FAQs do not require a new form for these changes, but the Regulatory Coordinator prepares an updated 1572 for PI signature when the sponsor asks for one. The Regulatory Coordinator files each signed version in the ISF (SOP-204 Essential Documents and the Investigator Site File).</w:t>
      </w:r>
    </w:p>
    <w:p>
      <w:pPr>
        <w:pStyle w:val="Heading2"/>
      </w:pPr>
      <w:r>
        <w:t>5.3 IRB approval and communication</w:t>
      </w:r>
    </w:p>
    <w:p>
      <w:pPr>
        <w:tabs>
          <w:tab w:pos="648" w:val="left"/>
        </w:tabs>
        <w:ind w:left="648" w:hanging="648"/>
      </w:pPr>
      <w:r>
        <w:rPr>
          <w:b/>
        </w:rPr>
        <w:t>5.3.1</w:t>
        <w:tab/>
      </w:r>
      <w:r>
        <w:rPr>
          <w:b w:val="0"/>
        </w:rPr>
        <w:t>The PI does not allow any participant to be consented or enrolled before written IRB approval of the protocol, consent materials and recruitment materials is on file, and, for device studies, before FDA approval of the IDE where required (21 CFR 312.66; 21 CFR 812.110(a)).</w:t>
      </w:r>
    </w:p>
    <w:p>
      <w:pPr>
        <w:tabs>
          <w:tab w:pos="648" w:val="left"/>
        </w:tabs>
        <w:ind w:left="648" w:hanging="648"/>
      </w:pPr>
      <w:r>
        <w:rPr>
          <w:b/>
        </w:rPr>
        <w:t>5.3.2</w:t>
        <w:tab/>
      </w:r>
      <w:r>
        <w:rPr>
          <w:b w:val="0"/>
        </w:rPr>
        <w:t>The PI, through the Regulatory Coordinator, submits amendments, continuing review or status reports, reportable new information and closure reports to the IRB as the IRB requires (SOP-203 IRB Submissions, Approval and Continuing Oversight; SOP-502 Unanticipated Problems and Reportable New Information).</w:t>
      </w:r>
    </w:p>
    <w:p>
      <w:pPr>
        <w:tabs>
          <w:tab w:pos="648" w:val="left"/>
        </w:tabs>
        <w:ind w:left="648" w:hanging="648"/>
      </w:pPr>
      <w:r>
        <w:rPr>
          <w:b/>
        </w:rPr>
        <w:t>5.3.3</w:t>
        <w:tab/>
      </w:r>
      <w:r>
        <w:rPr>
          <w:b w:val="0"/>
        </w:rPr>
        <w:t>The PI does not implement protocol changes without IRB approval except to eliminate an immediate hazard to participants (see 5.6.3).</w:t>
      </w:r>
    </w:p>
    <w:p>
      <w:pPr>
        <w:pStyle w:val="Heading2"/>
      </w:pPr>
      <w:r>
        <w:t>5.4 Personal conduct and supervision of the study</w:t>
      </w:r>
    </w:p>
    <w:p>
      <w:pPr>
        <w:tabs>
          <w:tab w:pos="648" w:val="left"/>
        </w:tabs>
        <w:ind w:left="648" w:hanging="648"/>
      </w:pPr>
      <w:r>
        <w:rPr>
          <w:b/>
        </w:rPr>
        <w:t>5.4.1</w:t>
        <w:tab/>
      </w:r>
      <w:r>
        <w:rPr>
          <w:b w:val="0"/>
        </w:rPr>
        <w:t>The PI personally conducts or supervises the study. The PI may delegate trial-related activities to Sub-Is, staff and service providers, but keeps overall responsibility for them (ICH E6(R3) Annex 1, 2.3.1).</w:t>
      </w:r>
    </w:p>
    <w:p>
      <w:pPr>
        <w:tabs>
          <w:tab w:pos="648" w:val="left"/>
        </w:tabs>
        <w:ind w:left="648" w:hanging="648"/>
      </w:pPr>
      <w:r>
        <w:rPr>
          <w:b/>
        </w:rPr>
        <w:t>5.4.2</w:t>
        <w:tab/>
      </w:r>
      <w:r>
        <w:rPr>
          <w:b w:val="0"/>
        </w:rPr>
        <w:t xml:space="preserve">The PI delegates a task only to a person who is qualified by education, training, experience and, where required, licensure in </w:t>
      </w:r>
      <w:r>
        <w:rPr>
          <w:b w:val="0"/>
          <w:highlight w:val="yellow"/>
        </w:rPr>
        <w:t>[STATE]</w:t>
      </w:r>
      <w:r>
        <w:rPr>
          <w:b w:val="0"/>
        </w:rPr>
        <w:t xml:space="preserve"> to perform it, and who has been trained on the protocol and on the task (SOP-103 Staff Qualification, Training and Training Records).</w:t>
      </w:r>
    </w:p>
    <w:p>
      <w:pPr>
        <w:tabs>
          <w:tab w:pos="648" w:val="left"/>
        </w:tabs>
        <w:ind w:left="648" w:hanging="648"/>
      </w:pPr>
      <w:r>
        <w:rPr>
          <w:b/>
        </w:rPr>
        <w:t>5.4.3</w:t>
        <w:tab/>
      </w:r>
      <w:r>
        <w:rPr>
          <w:b w:val="0"/>
        </w:rPr>
        <w:t xml:space="preserve">The PI records delegation on F-302-01 Delegation of Authority Log before the person performs the task, following SOP-302 Delegation of Authority. Tasks that require medical judgment (eligibility decisions, AE causality and seriousness assessment, medical management, unblinding decisions, IP prescribing) are delegated only to investigators (the PI or a Sub-I listed for the study) who are licensed to perform them under </w:t>
      </w:r>
      <w:r>
        <w:rPr>
          <w:b w:val="0"/>
          <w:highlight w:val="yellow"/>
        </w:rPr>
        <w:t>[STATE]</w:t>
      </w:r>
      <w:r>
        <w:rPr>
          <w:b w:val="0"/>
        </w:rPr>
        <w:t xml:space="preserve"> law (SOP-302, 5.2.2). Other licensed staff may support these tasks but do not decide or sign.</w:t>
      </w:r>
    </w:p>
    <w:p>
      <w:pPr>
        <w:tabs>
          <w:tab w:pos="648" w:val="left"/>
        </w:tabs>
        <w:ind w:left="648" w:hanging="648"/>
      </w:pPr>
      <w:r>
        <w:rPr>
          <w:b/>
        </w:rPr>
        <w:t>5.4.4</w:t>
        <w:tab/>
      </w:r>
      <w:r>
        <w:rPr>
          <w:b w:val="0"/>
        </w:rPr>
        <w:t>The PI sets the level of oversight in proportion to the importance of the data and the risk to participants and data reliability. At minimum, the PI or a delegated Sub-I:</w:t>
      </w:r>
    </w:p>
    <w:p>
      <w:pPr>
        <w:pStyle w:val="ListBullet"/>
        <w:spacing w:after="40"/>
        <w:ind w:left="1008" w:hanging="259"/>
      </w:pPr>
      <w:r>
        <w:rPr>
          <w:b w:val="0"/>
        </w:rPr>
        <w:t>reviews and signs eligibility for each participant before randomization, treatment-assigning IRT registration or first dose, whichever comes first (SOP-303, 5.4.3; F-303-02 Eligibility Verification Checklist)</w:t>
      </w:r>
    </w:p>
    <w:p>
      <w:pPr>
        <w:pStyle w:val="ListBullet"/>
        <w:spacing w:after="40"/>
        <w:ind w:left="1008" w:hanging="259"/>
      </w:pPr>
      <w:r>
        <w:rPr>
          <w:b w:val="0"/>
        </w:rPr>
        <w:t>reviews and assesses each AE for seriousness, severity, expectedness where required, and causality (F-500-01 Adverse Event Assessment Worksheet)</w:t>
      </w:r>
    </w:p>
    <w:p>
      <w:pPr>
        <w:pStyle w:val="ListBullet"/>
        <w:spacing w:after="40"/>
        <w:ind w:left="1008" w:hanging="259"/>
      </w:pPr>
      <w:r>
        <w:rPr>
          <w:b w:val="0"/>
        </w:rPr>
        <w:t xml:space="preserve">reviews, signs and dates laboratory, ECG, imaging and other test results, with clinical significance noted, within the timeframe the protocol sets or, where the protocol is silent, safety-relevant results within </w:t>
      </w:r>
      <w:r>
        <w:rPr>
          <w:b w:val="0"/>
          <w:highlight w:val="green"/>
        </w:rPr>
        <w:t>[DEFAULT: 2 business days]</w:t>
      </w:r>
      <w:r>
        <w:rPr>
          <w:b w:val="0"/>
        </w:rPr>
        <w:t xml:space="preserve"> of receipt (same day for critical values) and other results within </w:t>
      </w:r>
      <w:r>
        <w:rPr>
          <w:b w:val="0"/>
          <w:highlight w:val="green"/>
        </w:rPr>
        <w:t>[DEFAULT: 5 business days]</w:t>
      </w:r>
      <w:r>
        <w:rPr>
          <w:b w:val="0"/>
        </w:rPr>
        <w:t xml:space="preserve"> of receipt or before the participant's next visit, whichever is first. This is the site's single rule for result review; SOP-306 and SOP-500 point to it</w:t>
      </w:r>
    </w:p>
    <w:p>
      <w:pPr>
        <w:pStyle w:val="ListBullet"/>
        <w:spacing w:after="40"/>
        <w:ind w:left="1008" w:hanging="259"/>
      </w:pPr>
      <w:r>
        <w:rPr>
          <w:b w:val="0"/>
        </w:rPr>
        <w:t>reviews data from external sources that can affect eligibility, treatment or safety (central laboratory, central imaging reads, other providers' records, ePRO alerts) when the sponsor makes it available</w:t>
      </w:r>
    </w:p>
    <w:p>
      <w:pPr>
        <w:pStyle w:val="ListBullet"/>
        <w:spacing w:after="40"/>
        <w:ind w:left="1008" w:hanging="259"/>
      </w:pPr>
      <w:r>
        <w:rPr>
          <w:b w:val="0"/>
        </w:rPr>
        <w:t>reviews protocol deviations and decides which are important (SOP-308 Protocol Deviations and Noncompliance)</w:t>
      </w:r>
    </w:p>
    <w:p>
      <w:pPr>
        <w:pStyle w:val="ListBullet"/>
        <w:spacing w:after="40"/>
        <w:ind w:left="1008" w:hanging="259"/>
      </w:pPr>
      <w:r>
        <w:rPr>
          <w:b w:val="0"/>
        </w:rPr>
        <w:t>reviews monitoring visit findings and follow-up actions (F-600-02 Monitoring Follow-Up Action Tracker)</w:t>
      </w:r>
    </w:p>
    <w:p>
      <w:pPr>
        <w:tabs>
          <w:tab w:pos="648" w:val="left"/>
        </w:tabs>
        <w:ind w:left="648" w:hanging="648"/>
      </w:pPr>
      <w:r>
        <w:rPr>
          <w:b/>
        </w:rPr>
        <w:t>5.4.5</w:t>
        <w:tab/>
      </w:r>
      <w:r>
        <w:rPr>
          <w:b w:val="0"/>
        </w:rPr>
        <w:t xml:space="preserve">The PI documents oversight of each study at least </w:t>
      </w:r>
      <w:r>
        <w:rPr>
          <w:b w:val="0"/>
          <w:highlight w:val="green"/>
        </w:rPr>
        <w:t>[DEFAULT: quarterly]</w:t>
      </w:r>
      <w:r>
        <w:rPr>
          <w:b w:val="0"/>
        </w:rPr>
        <w:t xml:space="preserve"> and at each monitoring visit. The review covers enrollment, deviations, AEs and open actions, and the PI records it on a dated note (F-306-01 Note to File) filed in the ISF. Ad-hoc study team meetings do not need minutes. This is the site's single rule for PI oversight review; SOP-302 points to it.</w:t>
      </w:r>
    </w:p>
    <w:p>
      <w:pPr>
        <w:tabs>
          <w:tab w:pos="648" w:val="left"/>
        </w:tabs>
        <w:ind w:left="648" w:hanging="648"/>
      </w:pPr>
      <w:r>
        <w:rPr>
          <w:b/>
        </w:rPr>
        <w:t>5.4.6</w:t>
        <w:tab/>
      </w:r>
      <w:r>
        <w:rPr>
          <w:b w:val="0"/>
        </w:rPr>
        <w:t>The PI makes sure every person assisting with the study is informed of the protocol, the IP and their trial duties, including staff provided by other parties (ICH E6(R3) Annex 1, 2.3.2). Evidence is the protocol training record (SOP-103) and the delegation log.</w:t>
      </w:r>
    </w:p>
    <w:p>
      <w:pPr>
        <w:tabs>
          <w:tab w:pos="648" w:val="left"/>
        </w:tabs>
        <w:ind w:left="648" w:hanging="648"/>
      </w:pPr>
      <w:r>
        <w:rPr>
          <w:b/>
        </w:rPr>
        <w:t>5.4.7</w:t>
        <w:tab/>
      </w:r>
      <w:r>
        <w:rPr>
          <w:b w:val="0"/>
        </w:rPr>
        <w:t>When the PI learns that a delegated person or party is not performing as required, the PI acts: retrains, adds supervision, removes the delegation, or replaces the service provider. The PI documents the action and, where it reveals a systemic problem, refers it to the Quality Lead for CAPA (SOP-703 Corrective and Preventive Action (CAPA)).</w:t>
      </w:r>
    </w:p>
    <w:p>
      <w:pPr>
        <w:pStyle w:val="Heading2"/>
      </w:pPr>
      <w:r>
        <w:t>5.5 Oversight of service providers</w:t>
      </w:r>
    </w:p>
    <w:p>
      <w:pPr>
        <w:tabs>
          <w:tab w:pos="648" w:val="left"/>
        </w:tabs>
        <w:ind w:left="648" w:hanging="648"/>
      </w:pPr>
      <w:r>
        <w:rPr>
          <w:b/>
        </w:rPr>
        <w:t>5.5.1</w:t>
        <w:tab/>
      </w:r>
      <w:r>
        <w:rPr>
          <w:b w:val="0"/>
        </w:rPr>
        <w:t>When the PI uses a service provider for investigator activities (for example, a local laboratory, imaging center, home health nurse, pharmacy, recruitment vendor or record storage company), the PI approves its use and oversees it under SOP-105 Oversight of Service Providers and Vendors.</w:t>
      </w:r>
    </w:p>
    <w:p>
      <w:pPr>
        <w:tabs>
          <w:tab w:pos="648" w:val="left"/>
        </w:tabs>
        <w:ind w:left="648" w:hanging="648"/>
      </w:pPr>
      <w:r>
        <w:rPr>
          <w:b/>
        </w:rPr>
        <w:t>5.5.2</w:t>
        <w:tab/>
      </w:r>
      <w:r>
        <w:rPr>
          <w:b w:val="0"/>
        </w:rPr>
        <w:t>When the sponsor identifies a service provider to perform activities that are the investigator's responsibility (for example, sponsor-arranged home nursing), the PI reviews the information the sponsor provides and decides whether the provider is appropriate. Responsibility for those activities stays with the PI (ICH E6(R3) Annex 1, 2.3.1 and section 3.6.5).</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Network Office central services that perform investigator activities for the site (for example, central regulatory submissions, central recruitment or pre-screening, a central eRegulatory system) are service providers to the PI under SOP-105 and SOP-904, even in N-Integrated where no separate contract is needed. The PI keeps the oversight in 5.4 and 5.5 for them. Network QA audits and Network Medical Director reviews add to the PI's oversight; they do not replace it, and they do not transfer any investigator duty to the Network Office (21 CFR 312.60; 21 CFR 812.100).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w:t>
            </w:r>
          </w:p>
        </w:tc>
      </w:tr>
    </w:tbl>
    <w:p>
      <w:pPr>
        <w:spacing w:after="0"/>
      </w:pPr>
    </w:p>
    <w:p>
      <w:pPr>
        <w:pStyle w:val="Heading2"/>
      </w:pPr>
      <w:r>
        <w:t>5.6 Protocol compliance</w:t>
      </w:r>
    </w:p>
    <w:p>
      <w:pPr>
        <w:tabs>
          <w:tab w:pos="648" w:val="left"/>
        </w:tabs>
        <w:ind w:left="648" w:hanging="648"/>
      </w:pPr>
      <w:r>
        <w:rPr>
          <w:b/>
        </w:rPr>
        <w:t>5.6.1</w:t>
        <w:tab/>
      </w:r>
      <w:r>
        <w:rPr>
          <w:b w:val="0"/>
        </w:rPr>
        <w:t>The PI conducts the study according to the signed agreement, the current IRB-approved protocol, GCP and applicable regulations (21 CFR 312.60; 21 CFR 812.100 and 812.110(b)).</w:t>
      </w:r>
    </w:p>
    <w:p>
      <w:pPr>
        <w:tabs>
          <w:tab w:pos="648" w:val="left"/>
        </w:tabs>
        <w:ind w:left="648" w:hanging="648"/>
      </w:pPr>
      <w:r>
        <w:rPr>
          <w:b/>
        </w:rPr>
        <w:t>5.6.2</w:t>
        <w:tab/>
      </w:r>
      <w:r>
        <w:rPr>
          <w:b w:val="0"/>
        </w:rPr>
        <w:t>The PI documents all protocol deviations, reviews them, explains the important ones and puts measures in place to prevent recurrence (SOP-308).</w:t>
      </w:r>
    </w:p>
    <w:p>
      <w:pPr>
        <w:tabs>
          <w:tab w:pos="648" w:val="left"/>
        </w:tabs>
        <w:ind w:left="648" w:hanging="648"/>
      </w:pPr>
      <w:r>
        <w:rPr>
          <w:b/>
        </w:rPr>
        <w:t>5.6.3</w:t>
        <w:tab/>
      </w:r>
      <w:r>
        <w:rPr>
          <w:b w:val="0"/>
        </w:rPr>
        <w:t>The PI may deviate from the protocol without prior IRB approval only to eliminate an immediate hazard to participants. The PI informs the sponsor promptly and reports to the IRB as the IRB requires. For device studies, the PI notifies the sponsor and IRB of a deviation made to protect the life or physical well-being of a participant in an emergency as soon as possible and no later than 5 working days after it occurred (21 CFR 812.150(a)(4)).</w:t>
      </w:r>
    </w:p>
    <w:p>
      <w:pPr>
        <w:pStyle w:val="Heading2"/>
      </w:pPr>
      <w:r>
        <w:t>5.7 Informed consent</w:t>
      </w:r>
    </w:p>
    <w:p>
      <w:pPr>
        <w:tabs>
          <w:tab w:pos="648" w:val="left"/>
        </w:tabs>
        <w:ind w:left="648" w:hanging="648"/>
      </w:pPr>
      <w:r>
        <w:rPr>
          <w:b/>
        </w:rPr>
        <w:t>5.7.1</w:t>
        <w:tab/>
      </w:r>
      <w:r>
        <w:rPr>
          <w:b w:val="0"/>
        </w:rPr>
        <w:t>The PI makes sure legally effective informed consent is obtained and documented from each participant or legally authorized representative before any study procedure, following SOP-301 Informed Consent Process and Documentation. The PI keeps responsibility for consent obtained by delegated staff.</w:t>
      </w:r>
    </w:p>
    <w:p>
      <w:pPr>
        <w:pStyle w:val="Heading2"/>
      </w:pPr>
      <w:r>
        <w:t>5.8 Medical care and safety reporting</w:t>
      </w:r>
    </w:p>
    <w:p>
      <w:pPr>
        <w:tabs>
          <w:tab w:pos="648" w:val="left"/>
        </w:tabs>
        <w:ind w:left="648" w:hanging="648"/>
      </w:pPr>
      <w:r>
        <w:rPr>
          <w:b/>
        </w:rPr>
        <w:t>5.8.1</w:t>
        <w:tab/>
      </w:r>
      <w:r>
        <w:rPr>
          <w:b w:val="0"/>
        </w:rPr>
        <w:t xml:space="preserve">A qualified physician (or, where appropriate, a qualified dentist or other qualified healthcare professional permitted under </w:t>
      </w:r>
      <w:r>
        <w:rPr>
          <w:b w:val="0"/>
          <w:highlight w:val="yellow"/>
        </w:rPr>
        <w:t>[STATE]</w:t>
      </w:r>
      <w:r>
        <w:rPr>
          <w:b w:val="0"/>
        </w:rPr>
        <w:t xml:space="preserve"> law) who is an investigator or Sub-I for the study is responsible for trial-related medical care and decisions (ICH E6(R3) Annex 1, 2.7.1(a)).</w:t>
      </w:r>
    </w:p>
    <w:p>
      <w:pPr>
        <w:tabs>
          <w:tab w:pos="648" w:val="left"/>
        </w:tabs>
        <w:ind w:left="648" w:hanging="648"/>
      </w:pPr>
      <w:r>
        <w:rPr>
          <w:b/>
        </w:rPr>
        <w:t>5.8.2</w:t>
        <w:tab/>
      </w:r>
      <w:r>
        <w:rPr>
          <w:b w:val="0"/>
        </w:rPr>
        <w:t>During and after participation, the PI arranges adequate medical care for any AE related to the study, including clinically significant laboratory values, and tells the participant when medical care is needed for an intercurrent illness the PI becomes aware of.</w:t>
      </w:r>
    </w:p>
    <w:p>
      <w:pPr>
        <w:tabs>
          <w:tab w:pos="648" w:val="left"/>
        </w:tabs>
        <w:ind w:left="648" w:hanging="648"/>
      </w:pPr>
      <w:r>
        <w:rPr>
          <w:b/>
        </w:rPr>
        <w:t>5.8.3</w:t>
        <w:tab/>
      </w:r>
      <w:r>
        <w:rPr>
          <w:b w:val="0"/>
        </w:rPr>
        <w:t>With the participant's agreement, the PI informs the participant's primary care physician of the participant's involvement in the study. The CRC records the participant's decision and the date of notification in the source.</w:t>
      </w:r>
    </w:p>
    <w:p>
      <w:pPr>
        <w:tabs>
          <w:tab w:pos="648" w:val="left"/>
        </w:tabs>
        <w:ind w:left="648" w:hanging="648"/>
      </w:pPr>
      <w:r>
        <w:rPr>
          <w:b/>
        </w:rPr>
        <w:t>5.8.4</w:t>
        <w:tab/>
      </w:r>
      <w:r>
        <w:rPr>
          <w:b w:val="0"/>
        </w:rPr>
        <w:t>The PI reports to the sponsor:</w:t>
      </w:r>
    </w:p>
    <w:p>
      <w:pPr>
        <w:pStyle w:val="ListBullet"/>
        <w:spacing w:after="40"/>
        <w:ind w:left="1008" w:hanging="259"/>
      </w:pPr>
      <w:r>
        <w:rPr>
          <w:b w:val="0"/>
        </w:rPr>
        <w:t>each SAE immediately, whether or not considered related to the IP and including SAEs listed in the protocol or IB, with an assessment of whether there is a reasonable possibility the IP caused the event. SAEs that the protocol defines as study endpoints are reported as the protocol specifies, unless there is evidence of a causal relationship to the IP, in which case they are reported immediately (21 CFR 312.64(b); ICH E6(R3) Annex 1, 2.7.2(b))</w:t>
      </w:r>
    </w:p>
    <w:p>
      <w:pPr>
        <w:pStyle w:val="ListBullet"/>
        <w:spacing w:after="40"/>
        <w:ind w:left="1008" w:hanging="259"/>
      </w:pPr>
      <w:r>
        <w:rPr>
          <w:b w:val="0"/>
        </w:rPr>
        <w:t>other AEs and abnormal test results as the protocol requires</w:t>
      </w:r>
    </w:p>
    <w:p>
      <w:pPr>
        <w:pStyle w:val="ListBullet"/>
        <w:spacing w:after="40"/>
        <w:ind w:left="1008" w:hanging="259"/>
      </w:pPr>
      <w:r>
        <w:rPr>
          <w:b w:val="0"/>
        </w:rPr>
        <w:t>for device studies, each UADE to the sponsor and the IRB as soon as possible and no later than 10 working days after the PI first learns of it (21 CFR 812.150(a)(1))</w:t>
      </w:r>
    </w:p>
    <w:p>
      <w:pPr>
        <w:ind w:left="648"/>
      </w:pPr>
      <w:r>
        <w:rPr>
          <w:b w:val="0"/>
        </w:rPr>
        <w:t>Detailed procedures are in SOP-500 Adverse Event Identification, Assessment and Recording, SOP-501 Serious Adverse Event and Expedited Safety Reporting, and SOP-502 Unanticipated Problems and Reportable New Information.</w:t>
      </w:r>
    </w:p>
    <w:p>
      <w:pPr>
        <w:tabs>
          <w:tab w:pos="648" w:val="left"/>
        </w:tabs>
        <w:ind w:left="648" w:hanging="648"/>
      </w:pPr>
      <w:r>
        <w:rPr>
          <w:b/>
        </w:rPr>
        <w:t>5.8.5</w:t>
        <w:tab/>
      </w:r>
      <w:r>
        <w:rPr>
          <w:b w:val="0"/>
        </w:rPr>
        <w:t>The PI may delegate safety reporting tasks to qualified staff but keeps responsibility for participant safety and for meeting reporting requirements (ICH E6(R3) Annex 1, 2.7.2(d)).</w:t>
      </w:r>
    </w:p>
    <w:p>
      <w:pPr>
        <w:pStyle w:val="Heading2"/>
      </w:pPr>
      <w:r>
        <w:t>5.9 Investigational product control</w:t>
      </w:r>
    </w:p>
    <w:p>
      <w:pPr>
        <w:tabs>
          <w:tab w:pos="648" w:val="left"/>
        </w:tabs>
        <w:ind w:left="648" w:hanging="648"/>
      </w:pPr>
      <w:r>
        <w:rPr>
          <w:b/>
        </w:rPr>
        <w:t>5.9.1</w:t>
        <w:tab/>
      </w:r>
      <w:r>
        <w:rPr>
          <w:b w:val="0"/>
        </w:rPr>
        <w:t>The PI administers IP only to participants under the PI's personal supervision or that of a Sub-I, and does not supply IP to anyone not authorized to receive it (21 CFR 312.61; 21 CFR 812.110(c)).</w:t>
      </w:r>
    </w:p>
    <w:p>
      <w:pPr>
        <w:tabs>
          <w:tab w:pos="648" w:val="left"/>
        </w:tabs>
        <w:ind w:left="648" w:hanging="648"/>
      </w:pPr>
      <w:r>
        <w:rPr>
          <w:b/>
        </w:rPr>
        <w:t>5.9.2</w:t>
        <w:tab/>
      </w:r>
      <w:r>
        <w:rPr>
          <w:b w:val="0"/>
        </w:rPr>
        <w:t>The PI keeps responsibility for IP accountability when IP tasks are delegated to a Research Pharmacist or IP Manager (SOP-304 Investigational Product Management). For controlled substances, the PI follows 21 CFR 312.69 and DEA requirements (21 CFR 1301, 1304).</w:t>
      </w:r>
    </w:p>
    <w:p>
      <w:pPr>
        <w:pStyle w:val="Heading2"/>
      </w:pPr>
      <w:r>
        <w:t>5.10 Records and data</w:t>
      </w:r>
    </w:p>
    <w:p>
      <w:pPr>
        <w:tabs>
          <w:tab w:pos="648" w:val="left"/>
        </w:tabs>
        <w:ind w:left="648" w:hanging="648"/>
      </w:pPr>
      <w:r>
        <w:rPr>
          <w:b/>
        </w:rPr>
        <w:t>5.10.1</w:t>
        <w:tab/>
      </w:r>
      <w:r>
        <w:rPr>
          <w:b w:val="0"/>
        </w:rPr>
        <w:t>The PI maintains adequate and accurate case histories and IP disposition records (21 CFR 312.62; 21 CFR 812.140). Before the study starts, the PI defines what counts as source, how data are captured and where source is located, and updates that definition when needed (ICH E6(R3) Annex 1, 2.12.2; SOP-306 Source Documentation and Data Integrity (ALCOA+)).</w:t>
      </w:r>
    </w:p>
    <w:p>
      <w:pPr>
        <w:tabs>
          <w:tab w:pos="648" w:val="left"/>
        </w:tabs>
        <w:ind w:left="648" w:hanging="648"/>
      </w:pPr>
      <w:r>
        <w:rPr>
          <w:b/>
        </w:rPr>
        <w:t>5.10.2</w:t>
        <w:tab/>
      </w:r>
      <w:r>
        <w:rPr>
          <w:b w:val="0"/>
        </w:rPr>
        <w:t>The PI is responsible for the accuracy, completeness, legibility and timeliness of data reported to the sponsor, and reviews and endorses data at milestones agreed with the sponsor (for example, casebook signature at database lock) (ICH E6(R3) Annex 1, 2.12.5; SOP-307 Case Report Forms, EDC Entry and Query Resolution).</w:t>
      </w:r>
    </w:p>
    <w:p>
      <w:pPr>
        <w:tabs>
          <w:tab w:pos="648" w:val="left"/>
        </w:tabs>
        <w:ind w:left="648" w:hanging="648"/>
      </w:pPr>
      <w:r>
        <w:rPr>
          <w:b/>
        </w:rPr>
        <w:t>5.10.3</w:t>
        <w:tab/>
      </w:r>
      <w:r>
        <w:rPr>
          <w:b w:val="0"/>
        </w:rPr>
        <w:t>The PI protects participant privacy and confidentiality (SOP-400 Participant Privacy and HIPAA in Research) and retains records for the required period (SOP-402 Record Retention, Archiving and Destruction).</w:t>
      </w:r>
    </w:p>
    <w:p>
      <w:pPr>
        <w:pStyle w:val="Heading2"/>
      </w:pPr>
      <w:r>
        <w:t>5.11 Reports to the sponsor and IRB</w:t>
      </w:r>
    </w:p>
    <w:p>
      <w:pPr>
        <w:tabs>
          <w:tab w:pos="648" w:val="left"/>
        </w:tabs>
        <w:ind w:left="648" w:hanging="648"/>
      </w:pPr>
      <w:r>
        <w:rPr>
          <w:b/>
        </w:rPr>
        <w:t>5.11.1</w:t>
        <w:tab/>
      </w:r>
      <w:r>
        <w:rPr>
          <w:b w:val="0"/>
        </w:rPr>
        <w:t>The PI provides the sponsor with all required reports, including progress reports and a final report shortly after completing participation (21 CFR 312.64(a) and (c)).</w:t>
      </w:r>
    </w:p>
    <w:p>
      <w:pPr>
        <w:tabs>
          <w:tab w:pos="648" w:val="left"/>
        </w:tabs>
        <w:ind w:left="648" w:hanging="648"/>
      </w:pPr>
      <w:r>
        <w:rPr>
          <w:b/>
        </w:rPr>
        <w:t>5.11.2</w:t>
        <w:tab/>
      </w:r>
      <w:r>
        <w:rPr>
          <w:b w:val="0"/>
        </w:rPr>
        <w:t>For device studies, the PI also provides: notice of IRB withdrawal of approval to the sponsor within 5 working days; progress reports to the sponsor, monitor and IRB at least yearly; notice of IDE device use without informed consent to the sponsor and IRB within 5 working days; a final report to the sponsor and IRB within 3 months after termination or completion; and other information the sponsor, IRB or FDA requests (21 CFR 812.150(a)).</w:t>
      </w:r>
    </w:p>
    <w:p>
      <w:pPr>
        <w:tabs>
          <w:tab w:pos="648" w:val="left"/>
        </w:tabs>
        <w:ind w:left="648" w:hanging="648"/>
      </w:pPr>
      <w:r>
        <w:rPr>
          <w:b/>
        </w:rPr>
        <w:t>5.11.3</w:t>
        <w:tab/>
      </w:r>
      <w:r>
        <w:rPr>
          <w:b w:val="0"/>
        </w:rPr>
        <w:t>The PI submits study status summaries and final reports to the IRB as the IRB requires (SOP-203).</w:t>
      </w:r>
    </w:p>
    <w:p>
      <w:pPr>
        <w:pStyle w:val="Heading2"/>
      </w:pPr>
      <w:r>
        <w:t>5.12 Monitoring, audits and inspections</w:t>
      </w:r>
    </w:p>
    <w:p>
      <w:pPr>
        <w:tabs>
          <w:tab w:pos="648" w:val="left"/>
        </w:tabs>
        <w:ind w:left="648" w:hanging="648"/>
      </w:pPr>
      <w:r>
        <w:rPr>
          <w:b/>
        </w:rPr>
        <w:t>5.12.1</w:t>
        <w:tab/>
      </w:r>
      <w:r>
        <w:rPr>
          <w:b w:val="0"/>
        </w:rPr>
        <w:t>The PI permits monitoring and auditing by the sponsor, review by the IRB, and inspection by FDA and other authorities, and gives access to study records, including source (21 CFR 312.68; 21 CFR 812.145; ICH E6(R3) Annex 1, 2.3.5).</w:t>
      </w:r>
    </w:p>
    <w:p>
      <w:pPr>
        <w:tabs>
          <w:tab w:pos="648" w:val="left"/>
        </w:tabs>
        <w:ind w:left="648" w:hanging="648"/>
      </w:pPr>
      <w:r>
        <w:rPr>
          <w:b/>
        </w:rPr>
        <w:t>5.12.2</w:t>
        <w:tab/>
      </w:r>
      <w:r>
        <w:rPr>
          <w:b w:val="0"/>
        </w:rPr>
        <w:t>The PI is available for monitoring visit close-out discussions, audits and inspections, or arranges for the covering investigator under 5.13 (SOP-600 Sponsor Monitoring Visits; SOP-701 Sponsor and IRB Audits; SOP-702 FDA Inspections and Remote Regulatory Assessments).</w:t>
      </w:r>
    </w:p>
    <w:p>
      <w:pPr>
        <w:pStyle w:val="Heading2"/>
      </w:pPr>
      <w:r>
        <w:t>5.13 PI availability and coverage when absent</w:t>
      </w:r>
    </w:p>
    <w:p>
      <w:pPr>
        <w:tabs>
          <w:tab w:pos="648" w:val="left"/>
        </w:tabs>
        <w:ind w:left="648" w:hanging="648"/>
      </w:pPr>
      <w:r>
        <w:rPr>
          <w:b/>
        </w:rPr>
        <w:t>5.13.1</w:t>
        <w:tab/>
      </w:r>
      <w:r>
        <w:rPr>
          <w:b w:val="0"/>
        </w:rPr>
        <w:t>The PI gives staff a way to reach the PI or the covering investigator at all times participants are on study, including after hours where the protocol requires 24-hour contact. The CRC lists the contact numbers in study participant materials as the IRB approved.</w:t>
      </w:r>
    </w:p>
    <w:p>
      <w:pPr>
        <w:tabs>
          <w:tab w:pos="648" w:val="left"/>
        </w:tabs>
        <w:ind w:left="648" w:hanging="648"/>
      </w:pPr>
      <w:r>
        <w:rPr>
          <w:b/>
        </w:rPr>
        <w:t>5.13.2</w:t>
        <w:tab/>
      </w:r>
      <w:r>
        <w:rPr>
          <w:b w:val="0"/>
        </w:rPr>
        <w:t>For each study, the PI names at least one covering investigator who is listed on the 1572 (or investigator agreement records) and on the delegation log, is trained on the protocol, and is able to make trial-related medical decisions. Where a study has no Sub-I, the PI and Site Director arrange a qualified covering investigator and add that person to the study (1572 or investigator records and delegation log) before enrollment starts; where that is not possible, investigator-dependent procedures pause during PI absences (SOP-705, 5.7). This section is the site's single rule for PI absence and coverage; SOP-705 points to it.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 covering investigator may come from another member site only if, before covering, that person is listed for the study on the 1572 or investigator records and on this site's delegation log, is trained on the protocol, holds a license valid in the state where the participant is located when the task is done (SOP-904 5.4), and has any clinical privileges the location requires. N-Affiliated: the assignment is covered by a written agreement between the entities (SOP-904), and F-904-01 Shared Staff Assignment and Credentialing Log records it.</w:t>
            </w:r>
          </w:p>
        </w:tc>
      </w:tr>
    </w:tbl>
    <w:p>
      <w:pPr>
        <w:spacing w:after="0"/>
      </w:pPr>
    </w:p>
    <w:p>
      <w:pPr>
        <w:tabs>
          <w:tab w:pos="648" w:val="left"/>
        </w:tabs>
        <w:ind w:left="648" w:hanging="648"/>
      </w:pPr>
      <w:r>
        <w:rPr>
          <w:b/>
        </w:rPr>
        <w:t>5.13.3</w:t>
        <w:tab/>
      </w:r>
      <w:r>
        <w:rPr>
          <w:b w:val="0"/>
        </w:rPr>
        <w:t xml:space="preserve">For a planned absence of more than </w:t>
      </w:r>
      <w:r>
        <w:rPr>
          <w:b w:val="0"/>
          <w:highlight w:val="green"/>
        </w:rPr>
        <w:t>[DEFAULT: 5 business days]</w:t>
      </w:r>
      <w:r>
        <w:rPr>
          <w:b w:val="0"/>
        </w:rPr>
        <w:t>, the PI writes a coverage note on F-306-01 Note to File naming the covering investigator, dates and contact details, and sends it to the study team. The covering investigator must be listed for the study at the site (5.13.2). The Regulatory Coordinator files the note in the ISF and tells the monitor when the sponsor requires it.</w:t>
      </w:r>
    </w:p>
    <w:p>
      <w:pPr>
        <w:tabs>
          <w:tab w:pos="648" w:val="left"/>
        </w:tabs>
        <w:ind w:left="648" w:hanging="648"/>
      </w:pPr>
      <w:r>
        <w:rPr>
          <w:b/>
        </w:rPr>
        <w:t>5.13.4</w:t>
        <w:tab/>
      </w:r>
      <w:r>
        <w:rPr>
          <w:b w:val="0"/>
        </w:rPr>
        <w:t xml:space="preserve">For an absence of more than </w:t>
      </w:r>
      <w:r>
        <w:rPr>
          <w:b w:val="0"/>
          <w:highlight w:val="green"/>
        </w:rPr>
        <w:t>[DEFAULT: 30 calendar days]</w:t>
      </w:r>
      <w:r>
        <w:rPr>
          <w:b w:val="0"/>
        </w:rPr>
        <w:t>, planned or unplanned, the PI or Site Director notifies the sponsor and the IRB in writing as their requirements specify, and decides with the sponsor whether a PI change is needed. The Regulatory Coordinator files the notices and the decision in the ISF. The covering investigator does not become PI without a formal change under 5.13.5.</w:t>
      </w:r>
    </w:p>
    <w:p>
      <w:pPr>
        <w:tabs>
          <w:tab w:pos="648" w:val="left"/>
        </w:tabs>
        <w:ind w:left="648" w:hanging="648"/>
      </w:pPr>
      <w:r>
        <w:rPr>
          <w:b/>
        </w:rPr>
        <w:t>5.13.5</w:t>
        <w:tab/>
      </w:r>
      <w:r>
        <w:rPr>
          <w:b w:val="0"/>
        </w:rPr>
        <w:t>When the PI leaves the site or can no longer serve, the Site Director and Regulatory Coordinator:</w:t>
      </w:r>
    </w:p>
    <w:p>
      <w:pPr>
        <w:pStyle w:val="ListBullet"/>
        <w:spacing w:after="40"/>
        <w:ind w:left="1008" w:hanging="259"/>
      </w:pPr>
      <w:r>
        <w:rPr>
          <w:b w:val="0"/>
        </w:rPr>
        <w:t>notify the sponsor and IRB promptly in writing</w:t>
      </w:r>
    </w:p>
    <w:p>
      <w:pPr>
        <w:pStyle w:val="ListBullet"/>
        <w:spacing w:after="40"/>
        <w:ind w:left="1008" w:hanging="259"/>
      </w:pPr>
      <w:r>
        <w:rPr>
          <w:b w:val="0"/>
        </w:rPr>
        <w:t>obtain sponsor and IRB approval of a replacement PI, with a new 1572 or investigator agreement</w:t>
      </w:r>
    </w:p>
    <w:p>
      <w:pPr>
        <w:pStyle w:val="ListBullet"/>
        <w:spacing w:after="40"/>
        <w:ind w:left="1008" w:hanging="259"/>
      </w:pPr>
      <w:r>
        <w:rPr>
          <w:b w:val="0"/>
        </w:rPr>
        <w:t>arrange for the outgoing PI to complete outstanding signatures, AE assessments and data endorsements before leaving where possible</w:t>
      </w:r>
    </w:p>
    <w:p>
      <w:pPr>
        <w:pStyle w:val="ListBullet"/>
        <w:spacing w:after="40"/>
        <w:ind w:left="1008" w:hanging="259"/>
      </w:pPr>
      <w:r>
        <w:rPr>
          <w:b w:val="0"/>
        </w:rPr>
        <w:t>tell the sponsor the name of the person responsible for keeping the essential records (ICH E6(R3) Annex 1, 2.12.13)</w:t>
      </w:r>
    </w:p>
    <w:p>
      <w:pPr>
        <w:pStyle w:val="ListBullet"/>
        <w:spacing w:after="40"/>
        <w:ind w:left="1008" w:hanging="259"/>
      </w:pPr>
      <w:r>
        <w:rPr>
          <w:b w:val="0"/>
        </w:rPr>
        <w:t>update the delegation log and remove system access (SOP-102 Site Organization, Roles and Staff Responsibilities)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Site Director also tells the Network Clinical Operations Lead when a PI leaves or can no longer serve. The Network Office may propose a replacement PI, including one from another member site, but the change still needs sponsor and IRB approval, a new 1572 or investigator agreement, and the steps in 5.13.5 at the member site.</w:t>
            </w:r>
          </w:p>
        </w:tc>
      </w:tr>
    </w:tbl>
    <w:p>
      <w:pPr>
        <w:spacing w:after="0"/>
      </w:pPr>
    </w:p>
    <w:p>
      <w:pPr>
        <w:tabs>
          <w:tab w:pos="648" w:val="left"/>
        </w:tabs>
        <w:ind w:left="648" w:hanging="648"/>
      </w:pPr>
      <w:r>
        <w:rPr>
          <w:b/>
        </w:rPr>
        <w:t>5.13.6</w:t>
        <w:tab/>
      </w:r>
      <w:r>
        <w:rPr>
          <w:b w:val="0"/>
        </w:rPr>
        <w:t>If the PI ends participation in a study without the sponsor's prior agreement, the PI informs the sponsor and IRB promptly with a detailed explanation, informs participants and arranges appropriate therapy and follow-up (ICH E6(R3) Annex 1, 2.6).</w:t>
      </w:r>
    </w:p>
    <w:p>
      <w:pPr>
        <w:pStyle w:val="Heading2"/>
      </w:pPr>
      <w:r>
        <w:t>5.14 Financial disclosure and conflicts of interest</w:t>
      </w:r>
    </w:p>
    <w:p>
      <w:pPr>
        <w:tabs>
          <w:tab w:pos="648" w:val="left"/>
        </w:tabs>
        <w:ind w:left="648" w:hanging="648"/>
      </w:pPr>
      <w:r>
        <w:rPr>
          <w:b/>
        </w:rPr>
        <w:t>5.14.1</w:t>
        <w:tab/>
      </w:r>
      <w:r>
        <w:rPr>
          <w:b w:val="0"/>
        </w:rPr>
        <w:t>The PI and each Sub-I provide accurate financial disclosure information to the sponsor and update it during the study and for 1 year after completion (21 CFR 312.64(d); 21 CFR 812.110(d)). Procedures are in SOP-104.</w:t>
      </w:r>
    </w:p>
    <w:p>
      <w:pPr>
        <w:pStyle w:val="Heading1"/>
      </w:pPr>
      <w:r>
        <w:t>6. Related Forms and SOPs</w:t>
      </w:r>
    </w:p>
    <w:p>
      <w:pPr>
        <w:pStyle w:val="ListBullet"/>
        <w:spacing w:after="40"/>
        <w:ind w:left="360" w:hanging="259"/>
      </w:pPr>
      <w:r>
        <w:rPr>
          <w:b w:val="0"/>
        </w:rPr>
        <w:t>F-200-01 Study Feasibility Assessment</w:t>
      </w:r>
    </w:p>
    <w:p>
      <w:pPr>
        <w:pStyle w:val="ListBullet"/>
        <w:spacing w:after="40"/>
        <w:ind w:left="360" w:hanging="259"/>
      </w:pPr>
      <w:r>
        <w:rPr>
          <w:b w:val="0"/>
        </w:rPr>
        <w:t>F-302-01 Delegation of Authority Log</w:t>
      </w:r>
    </w:p>
    <w:p>
      <w:pPr>
        <w:pStyle w:val="ListBullet"/>
        <w:spacing w:after="40"/>
        <w:ind w:left="360" w:hanging="259"/>
      </w:pPr>
      <w:r>
        <w:rPr>
          <w:b w:val="0"/>
        </w:rPr>
        <w:t>F-303-02 Eligibility Verification Checklist</w:t>
      </w:r>
    </w:p>
    <w:p>
      <w:pPr>
        <w:pStyle w:val="ListBullet"/>
        <w:spacing w:after="40"/>
        <w:ind w:left="360" w:hanging="259"/>
      </w:pPr>
      <w:r>
        <w:rPr>
          <w:b w:val="0"/>
        </w:rPr>
        <w:t>F-306-01 Note to File</w:t>
      </w:r>
    </w:p>
    <w:p>
      <w:pPr>
        <w:pStyle w:val="ListBullet"/>
        <w:spacing w:after="40"/>
        <w:ind w:left="360" w:hanging="259"/>
      </w:pPr>
      <w:r>
        <w:rPr>
          <w:b w:val="0"/>
        </w:rPr>
        <w:t>F-500-01 Adverse Event Assessment Worksheet</w:t>
      </w:r>
    </w:p>
    <w:p>
      <w:pPr>
        <w:pStyle w:val="ListBullet"/>
        <w:spacing w:after="40"/>
        <w:ind w:left="360" w:hanging="259"/>
      </w:pPr>
      <w:r>
        <w:rPr>
          <w:b w:val="0"/>
        </w:rPr>
        <w:t>F-600-02 Monitoring Follow-Up Action Tracker</w:t>
      </w:r>
    </w:p>
    <w:p>
      <w:pPr>
        <w:pStyle w:val="ListBullet"/>
        <w:spacing w:after="40"/>
        <w:ind w:left="360" w:hanging="259"/>
      </w:pPr>
      <w:r>
        <w:rPr>
          <w:b w:val="0"/>
        </w:rPr>
        <w:t>F-904-01 Shared Staff Assignment and Credentialing Log (Model N only)</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SOP-102 Site Organization, Roles and Staff Responsibilities</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SOP-104 Conflict of Interest and Financial Disclosure</w:t>
      </w:r>
    </w:p>
    <w:p>
      <w:pPr>
        <w:pStyle w:val="ListBullet"/>
        <w:spacing w:after="40"/>
        <w:ind w:left="360" w:hanging="259"/>
      </w:pPr>
      <w:r>
        <w:rPr>
          <w:b w:val="0"/>
        </w:rPr>
        <w:t>SOP-105 Oversight of Service Providers and Vendors</w:t>
      </w:r>
    </w:p>
    <w:p>
      <w:pPr>
        <w:pStyle w:val="ListBullet"/>
        <w:spacing w:after="40"/>
        <w:ind w:left="360" w:hanging="259"/>
      </w:pPr>
      <w:r>
        <w:rPr>
          <w:b w:val="0"/>
        </w:rPr>
        <w:t>SOP-200 Study Feasibility and Selection</w:t>
      </w:r>
    </w:p>
    <w:p>
      <w:pPr>
        <w:pStyle w:val="ListBullet"/>
        <w:spacing w:after="40"/>
        <w:ind w:left="360" w:hanging="259"/>
      </w:pPr>
      <w:r>
        <w:rPr>
          <w:b w:val="0"/>
        </w:rPr>
        <w:t>SOP-203 IRB Submissions, Approval and Continuing Oversight</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SOP-301 Informed Consent Process and Documentation</w:t>
      </w:r>
    </w:p>
    <w:p>
      <w:pPr>
        <w:pStyle w:val="ListBullet"/>
        <w:spacing w:after="40"/>
        <w:ind w:left="360" w:hanging="259"/>
      </w:pPr>
      <w:r>
        <w:rPr>
          <w:b w:val="0"/>
        </w:rPr>
        <w:t>SOP-302 Delegation of Authority</w:t>
      </w:r>
    </w:p>
    <w:p>
      <w:pPr>
        <w:pStyle w:val="ListBullet"/>
        <w:spacing w:after="40"/>
        <w:ind w:left="360" w:hanging="259"/>
      </w:pPr>
      <w:r>
        <w:rPr>
          <w:b w:val="0"/>
        </w:rPr>
        <w:t>SOP-304 Investigational Product Management</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SOP-402 Record Retention, Archiving and Destruction</w:t>
      </w:r>
    </w:p>
    <w:p>
      <w:pPr>
        <w:pStyle w:val="ListBullet"/>
        <w:spacing w:after="40"/>
        <w:ind w:left="360" w:hanging="259"/>
      </w:pPr>
      <w:r>
        <w:rPr>
          <w:b w:val="0"/>
        </w:rPr>
        <w:t>SOP-500 Adverse Event Identification, Assessment and Recording</w:t>
      </w:r>
    </w:p>
    <w:p>
      <w:pPr>
        <w:pStyle w:val="ListBullet"/>
        <w:spacing w:after="40"/>
        <w:ind w:left="360" w:hanging="259"/>
      </w:pPr>
      <w:r>
        <w:rPr>
          <w:b w:val="0"/>
        </w:rPr>
        <w:t>SOP-501 Serious Adverse Event and Expedited Safety Reporting</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SOP-600 Sponsor Monitoring Visits</w:t>
      </w:r>
    </w:p>
    <w:p>
      <w:pPr>
        <w:pStyle w:val="ListBullet"/>
        <w:spacing w:after="40"/>
        <w:ind w:left="360" w:hanging="259"/>
      </w:pPr>
      <w:r>
        <w:rPr>
          <w:b w:val="0"/>
        </w:rPr>
        <w:t>SOP-701 Sponsor and IRB Audits</w:t>
      </w:r>
    </w:p>
    <w:p>
      <w:pPr>
        <w:pStyle w:val="ListBullet"/>
        <w:spacing w:after="40"/>
        <w:ind w:left="360" w:hanging="259"/>
      </w:pPr>
      <w:r>
        <w:rPr>
          <w:b w:val="0"/>
        </w:rPr>
        <w:t>SOP-702 FDA Inspections and Remote Regulatory Assessments</w:t>
      </w:r>
    </w:p>
    <w:p>
      <w:pPr>
        <w:pStyle w:val="ListBullet"/>
        <w:spacing w:after="40"/>
        <w:ind w:left="360" w:hanging="259"/>
      </w:pPr>
      <w:r>
        <w:rPr>
          <w:b w:val="0"/>
        </w:rPr>
        <w:t>SOP-703 Corrective and Preventive Action (CAPA)</w:t>
      </w:r>
    </w:p>
    <w:p>
      <w:pPr>
        <w:pStyle w:val="ListBullet"/>
        <w:spacing w:after="40"/>
        <w:ind w:left="360" w:hanging="259"/>
      </w:pPr>
      <w:r>
        <w:rPr>
          <w:b w:val="0"/>
        </w:rPr>
        <w:t>SOP-705 Business Continuity and Emergency Preparedness</w:t>
      </w:r>
    </w:p>
    <w:p>
      <w:pPr>
        <w:pStyle w:val="ListBullet"/>
        <w:spacing w:after="40"/>
        <w:ind w:left="360" w:hanging="259"/>
      </w:pPr>
      <w:r>
        <w:rPr>
          <w:b w:val="0"/>
        </w:rPr>
        <w:t>SOP-800 Sponsor-Investigator Responsibilities (IND/IDE Holder)</w:t>
      </w:r>
    </w:p>
    <w:p>
      <w:pPr>
        <w:pStyle w:val="ListBullet"/>
        <w:spacing w:after="40"/>
        <w:ind w:left="360" w:hanging="259"/>
      </w:pPr>
      <w:r>
        <w:rPr>
          <w:b w:val="0"/>
        </w:rPr>
        <w:t>SOP-902 Network Study Feasibility, Allocation and Central Contracting (Model N only)</w:t>
      </w:r>
    </w:p>
    <w:p>
      <w:pPr>
        <w:pStyle w:val="ListBullet"/>
        <w:spacing w:after="40"/>
        <w:ind w:left="360" w:hanging="259"/>
      </w:pPr>
      <w:r>
        <w:rPr>
          <w:b w:val="0"/>
        </w:rPr>
        <w:t>SOP-904 Shared Staff, Cross-Site Coverage and Central Services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50</w:t>
            </w:r>
          </w:p>
        </w:tc>
        <w:tc>
          <w:tcPr>
            <w:tcW w:type="dxa" w:w="6946"/>
          </w:tcPr>
          <w:p>
            <w:pPr>
              <w:spacing w:after="0"/>
            </w:pPr>
            <w:r>
              <w:rPr>
                <w:b w:val="0"/>
                <w:sz w:val="19"/>
              </w:rPr>
              <w:t>Protection of Human Subjects</w:t>
            </w:r>
          </w:p>
        </w:tc>
      </w:tr>
      <w:tr>
        <w:trPr>
          <w:cantSplit w:val="true"/>
        </w:trPr>
        <w:tc>
          <w:tcPr>
            <w:tcW w:type="dxa" w:w="2701"/>
          </w:tcPr>
          <w:p>
            <w:pPr>
              <w:spacing w:after="0"/>
            </w:pPr>
            <w:r>
              <w:rPr>
                <w:b w:val="0"/>
                <w:sz w:val="19"/>
              </w:rPr>
              <w:t>21 CFR 54</w:t>
            </w:r>
          </w:p>
        </w:tc>
        <w:tc>
          <w:tcPr>
            <w:tcW w:type="dxa" w:w="6946"/>
          </w:tcPr>
          <w:p>
            <w:pPr>
              <w:spacing w:after="0"/>
            </w:pPr>
            <w:r>
              <w:rPr>
                <w:b w:val="0"/>
                <w:sz w:val="19"/>
              </w:rPr>
              <w:t>Financial Disclosure by Clinical Investigators</w:t>
            </w:r>
          </w:p>
        </w:tc>
      </w:tr>
      <w:tr>
        <w:trPr>
          <w:cantSplit w:val="true"/>
        </w:trPr>
        <w:tc>
          <w:tcPr>
            <w:tcW w:type="dxa" w:w="2701"/>
          </w:tcPr>
          <w:p>
            <w:pPr>
              <w:spacing w:after="0"/>
            </w:pPr>
            <w:r>
              <w:rPr>
                <w:b w:val="0"/>
                <w:sz w:val="19"/>
              </w:rPr>
              <w:t>21 CFR 56</w:t>
            </w:r>
          </w:p>
        </w:tc>
        <w:tc>
          <w:tcPr>
            <w:tcW w:type="dxa" w:w="6946"/>
          </w:tcPr>
          <w:p>
            <w:pPr>
              <w:spacing w:after="0"/>
            </w:pPr>
            <w:r>
              <w:rPr>
                <w:b w:val="0"/>
                <w:sz w:val="19"/>
              </w:rPr>
              <w:t>Institutional Review Boards</w:t>
            </w:r>
          </w:p>
        </w:tc>
      </w:tr>
      <w:tr>
        <w:trPr>
          <w:cantSplit w:val="true"/>
        </w:trPr>
        <w:tc>
          <w:tcPr>
            <w:tcW w:type="dxa" w:w="2701"/>
          </w:tcPr>
          <w:p>
            <w:pPr>
              <w:spacing w:after="0"/>
            </w:pPr>
            <w:r>
              <w:rPr>
                <w:b w:val="0"/>
                <w:sz w:val="19"/>
              </w:rPr>
              <w:t>21 CFR 312.53(c)</w:t>
            </w:r>
          </w:p>
        </w:tc>
        <w:tc>
          <w:tcPr>
            <w:tcW w:type="dxa" w:w="6946"/>
          </w:tcPr>
          <w:p>
            <w:pPr>
              <w:spacing w:after="0"/>
            </w:pPr>
            <w:r>
              <w:rPr>
                <w:b w:val="0"/>
                <w:sz w:val="19"/>
              </w:rPr>
              <w:t>Selecting investigators and monitors (Form FDA 1572)</w:t>
            </w:r>
          </w:p>
        </w:tc>
      </w:tr>
      <w:tr>
        <w:trPr>
          <w:cantSplit w:val="true"/>
        </w:trPr>
        <w:tc>
          <w:tcPr>
            <w:tcW w:type="dxa" w:w="2701"/>
          </w:tcPr>
          <w:p>
            <w:pPr>
              <w:spacing w:after="0"/>
            </w:pPr>
            <w:r>
              <w:rPr>
                <w:b w:val="0"/>
                <w:sz w:val="19"/>
              </w:rPr>
              <w:t>21 CFR 312.60 to 312.69</w:t>
            </w:r>
          </w:p>
        </w:tc>
        <w:tc>
          <w:tcPr>
            <w:tcW w:type="dxa" w:w="6946"/>
          </w:tcPr>
          <w:p>
            <w:pPr>
              <w:spacing w:after="0"/>
            </w:pPr>
            <w:r>
              <w:rPr>
                <w:b w:val="0"/>
                <w:sz w:val="19"/>
              </w:rPr>
              <w:t>Investigational New Drug Application, Subpart D: Responsibilities of Sponsors and Investigators (investigator sections)</w:t>
            </w:r>
          </w:p>
        </w:tc>
      </w:tr>
      <w:tr>
        <w:trPr>
          <w:cantSplit w:val="true"/>
        </w:trPr>
        <w:tc>
          <w:tcPr>
            <w:tcW w:type="dxa" w:w="2701"/>
          </w:tcPr>
          <w:p>
            <w:pPr>
              <w:spacing w:after="0"/>
            </w:pPr>
            <w:r>
              <w:rPr>
                <w:b w:val="0"/>
                <w:sz w:val="19"/>
              </w:rPr>
              <w:t>21 CFR 812.43(c)</w:t>
            </w:r>
          </w:p>
        </w:tc>
        <w:tc>
          <w:tcPr>
            <w:tcW w:type="dxa" w:w="6946"/>
          </w:tcPr>
          <w:p>
            <w:pPr>
              <w:spacing w:after="0"/>
            </w:pPr>
            <w:r>
              <w:rPr>
                <w:b w:val="0"/>
                <w:sz w:val="19"/>
              </w:rPr>
              <w:t>Investigator agreements</w:t>
            </w:r>
          </w:p>
        </w:tc>
      </w:tr>
      <w:tr>
        <w:trPr>
          <w:cantSplit w:val="true"/>
        </w:trPr>
        <w:tc>
          <w:tcPr>
            <w:tcW w:type="dxa" w:w="2701"/>
          </w:tcPr>
          <w:p>
            <w:pPr>
              <w:spacing w:after="0"/>
            </w:pPr>
            <w:r>
              <w:rPr>
                <w:b w:val="0"/>
                <w:sz w:val="19"/>
              </w:rPr>
              <w:t>21 CFR 812.100 to 812.150</w:t>
            </w:r>
          </w:p>
        </w:tc>
        <w:tc>
          <w:tcPr>
            <w:tcW w:type="dxa" w:w="6946"/>
          </w:tcPr>
          <w:p>
            <w:pPr>
              <w:spacing w:after="0"/>
            </w:pPr>
            <w:r>
              <w:rPr>
                <w:b w:val="0"/>
                <w:sz w:val="19"/>
              </w:rPr>
              <w:t>Investigational Device Exemptions, Subpart E (Responsibilities of Investigators), 812.140 Records and 812.150 Reports</w:t>
            </w:r>
          </w:p>
        </w:tc>
      </w:tr>
      <w:tr>
        <w:trPr>
          <w:cantSplit w:val="true"/>
        </w:trPr>
        <w:tc>
          <w:tcPr>
            <w:tcW w:type="dxa" w:w="2701"/>
          </w:tcPr>
          <w:p>
            <w:pPr>
              <w:spacing w:after="0"/>
            </w:pPr>
            <w:r>
              <w:rPr>
                <w:b w:val="0"/>
                <w:sz w:val="19"/>
              </w:rPr>
              <w:t>21 CFR 1301, 1304</w:t>
            </w:r>
          </w:p>
        </w:tc>
        <w:tc>
          <w:tcPr>
            <w:tcW w:type="dxa" w:w="6946"/>
          </w:tcPr>
          <w:p>
            <w:pPr>
              <w:spacing w:after="0"/>
            </w:pPr>
            <w:r>
              <w:rPr>
                <w:b w:val="0"/>
                <w:sz w:val="19"/>
              </w:rPr>
              <w:t>DEA registration and records (controlled substances)</w:t>
            </w:r>
          </w:p>
        </w:tc>
      </w:tr>
      <w:tr>
        <w:trPr>
          <w:cantSplit w:val="true"/>
        </w:trPr>
        <w:tc>
          <w:tcPr>
            <w:tcW w:type="dxa" w:w="2701"/>
          </w:tcPr>
          <w:p>
            <w:pPr>
              <w:spacing w:after="0"/>
            </w:pPr>
            <w:r>
              <w:rPr>
                <w:b w:val="0"/>
                <w:sz w:val="19"/>
              </w:rPr>
              <w:t>ICH E6(R3) Principles 5 and 10</w:t>
            </w:r>
          </w:p>
        </w:tc>
        <w:tc>
          <w:tcPr>
            <w:tcW w:type="dxa" w:w="6946"/>
          </w:tcPr>
          <w:p>
            <w:pPr>
              <w:spacing w:after="0"/>
            </w:pPr>
            <w:r>
              <w:rPr>
                <w:b w:val="0"/>
                <w:sz w:val="19"/>
              </w:rPr>
              <w:t>Qualified individuals; roles and responsibilities</w:t>
            </w:r>
          </w:p>
        </w:tc>
      </w:tr>
      <w:tr>
        <w:trPr>
          <w:cantSplit w:val="true"/>
        </w:trPr>
        <w:tc>
          <w:tcPr>
            <w:tcW w:type="dxa" w:w="2701"/>
          </w:tcPr>
          <w:p>
            <w:pPr>
              <w:spacing w:after="0"/>
            </w:pPr>
            <w:r>
              <w:rPr>
                <w:b w:val="0"/>
                <w:sz w:val="19"/>
              </w:rPr>
              <w:t>ICH E6(R3) Annex 1, 2</w:t>
            </w:r>
          </w:p>
        </w:tc>
        <w:tc>
          <w:tcPr>
            <w:tcW w:type="dxa" w:w="6946"/>
          </w:tcPr>
          <w:p>
            <w:pPr>
              <w:spacing w:after="0"/>
            </w:pPr>
            <w:r>
              <w:rPr>
                <w:b w:val="0"/>
                <w:sz w:val="19"/>
              </w:rPr>
              <w:t>Investigator (2.1 to 2.13)</w:t>
            </w:r>
          </w:p>
        </w:tc>
      </w:tr>
      <w:tr>
        <w:trPr>
          <w:cantSplit w:val="true"/>
        </w:trPr>
        <w:tc>
          <w:tcPr>
            <w:tcW w:type="dxa" w:w="2701"/>
          </w:tcPr>
          <w:p>
            <w:pPr>
              <w:spacing w:after="0"/>
            </w:pPr>
            <w:r>
              <w:rPr>
                <w:b w:val="0"/>
                <w:sz w:val="19"/>
              </w:rPr>
              <w:t>ICH E6(R3) Annex 1, 3.6.5</w:t>
            </w:r>
          </w:p>
        </w:tc>
        <w:tc>
          <w:tcPr>
            <w:tcW w:type="dxa" w:w="6946"/>
          </w:tcPr>
          <w:p>
            <w:pPr>
              <w:spacing w:after="0"/>
            </w:pPr>
            <w:r>
              <w:rPr>
                <w:b w:val="0"/>
                <w:sz w:val="19"/>
              </w:rPr>
              <w:t>Agreements: sponsor information on service providers for investigator activities</w:t>
            </w:r>
          </w:p>
        </w:tc>
      </w:tr>
      <w:tr>
        <w:trPr>
          <w:cantSplit w:val="true"/>
        </w:trPr>
        <w:tc>
          <w:tcPr>
            <w:tcW w:type="dxa" w:w="2701"/>
          </w:tcPr>
          <w:p>
            <w:pPr>
              <w:spacing w:after="0"/>
            </w:pPr>
            <w:r>
              <w:rPr>
                <w:b w:val="0"/>
                <w:sz w:val="19"/>
              </w:rPr>
              <w:t>ISO 14155 (current edition)</w:t>
            </w:r>
          </w:p>
        </w:tc>
        <w:tc>
          <w:tcPr>
            <w:tcW w:type="dxa" w:w="6946"/>
          </w:tcPr>
          <w:p>
            <w:pPr>
              <w:spacing w:after="0"/>
            </w:pPr>
            <w:r>
              <w:rPr>
                <w:b w:val="0"/>
                <w:sz w:val="19"/>
              </w:rPr>
              <w:t>Clinical investigation of medical devices for human subjects: Good clinical practice (confirm current edition per the Regulatory Currency Note)</w:t>
            </w:r>
          </w:p>
        </w:tc>
      </w:tr>
      <w:tr>
        <w:trPr>
          <w:cantSplit w:val="true"/>
        </w:trPr>
        <w:tc>
          <w:tcPr>
            <w:tcW w:type="dxa" w:w="2701"/>
          </w:tcPr>
          <w:p>
            <w:pPr>
              <w:spacing w:after="0"/>
            </w:pPr>
            <w:r>
              <w:rPr>
                <w:b w:val="0"/>
                <w:sz w:val="19"/>
              </w:rPr>
              <w:t>FDA Guidance (2009)</w:t>
            </w:r>
          </w:p>
        </w:tc>
        <w:tc>
          <w:tcPr>
            <w:tcW w:type="dxa" w:w="6946"/>
          </w:tcPr>
          <w:p>
            <w:pPr>
              <w:spacing w:after="0"/>
            </w:pPr>
            <w:r>
              <w:rPr>
                <w:b w:val="0"/>
                <w:sz w:val="19"/>
              </w:rPr>
              <w:t>Investigator Responsibilities: Protecting the Rights, Safety, and Welfare of Study Subjects</w:t>
            </w:r>
          </w:p>
        </w:tc>
      </w:tr>
      <w:tr>
        <w:trPr>
          <w:cantSplit w:val="true"/>
        </w:trPr>
        <w:tc>
          <w:tcPr>
            <w:tcW w:type="dxa" w:w="2701"/>
          </w:tcPr>
          <w:p>
            <w:pPr>
              <w:spacing w:after="0"/>
            </w:pPr>
            <w:r>
              <w:rPr>
                <w:b w:val="0"/>
                <w:sz w:val="19"/>
              </w:rPr>
              <w:t>FDA Guidance (May 2010; Revision 1 draft, May 2021)</w:t>
            </w:r>
          </w:p>
        </w:tc>
        <w:tc>
          <w:tcPr>
            <w:tcW w:type="dxa" w:w="6946"/>
          </w:tcPr>
          <w:p>
            <w:pPr>
              <w:spacing w:after="0"/>
            </w:pPr>
            <w:r>
              <w:rPr>
                <w:b w:val="0"/>
                <w:sz w:val="19"/>
              </w:rPr>
              <w:t>Information Sheet Guidance for Sponsors, Clinical Investigators, and IRBs: Frequently Asked Questions, Statement of Investigator (Form FDA 1572)</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SOP-101 Roles and Responsibilities of the Principal Investigator</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SOP-101 Roles and Responsibilities of the Principal Investigator</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