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Independent Site SOP Library: Reference Edition</w:t>
      </w:r>
    </w:p>
    <w:p>
      <w:pPr>
        <w:pStyle w:val="Title"/>
        <w:pBdr>
          <w:bottom w:val="single" w:sz="12" w:space="1" w:color="1F3864"/>
        </w:pBdr>
        <w:spacing w:after="120"/>
      </w:pPr>
      <w:r>
        <w:rPr>
          <w:b w:val="0"/>
          <w:color w:val="1F3864"/>
          <w:sz w:val="36"/>
        </w:rPr>
        <w:t>Adoption Guide</w:t>
      </w:r>
    </w:p>
    <w:p>
      <w:pPr>
        <w:pStyle w:val="Heading1"/>
      </w:pPr>
      <w:r>
        <w:t>Status and use</w:t>
      </w:r>
    </w:p>
    <w:p>
      <w:pPr>
        <w:pStyle w:val="ListBullet"/>
        <w:spacing w:after="40"/>
        <w:ind w:left="360" w:hanging="259"/>
      </w:pPr>
      <w:r>
        <w:rPr>
          <w:b/>
        </w:rPr>
        <w:t>What it is.</w:t>
      </w:r>
      <w:r>
        <w:rPr>
          <w:b w:val="0"/>
        </w:rPr>
        <w:t xml:space="preserve"> This library was prepared as a configurable template of SOPs, forms and guides. It is not a finished quality system until a site configures, approves and trains on it.</w:t>
      </w:r>
    </w:p>
    <w:p>
      <w:pPr>
        <w:pStyle w:val="ListBullet"/>
        <w:spacing w:after="40"/>
        <w:ind w:left="360" w:hanging="259"/>
      </w:pPr>
      <w:r>
        <w:rPr>
          <w:b/>
        </w:rPr>
        <w:t>Review status.</w:t>
      </w:r>
      <w:r>
        <w:rPr>
          <w:b w:val="0"/>
        </w:rPr>
        <w:t xml:space="preserve"> Not reviewed by counsel or by a practicing site QA lead as of </w:t>
      </w:r>
      <w:r>
        <w:rPr>
          <w:b w:val="0"/>
          <w:highlight w:val="yellow"/>
        </w:rPr>
        <w:t>[DATE]</w:t>
      </w:r>
      <w:r>
        <w:rPr>
          <w:b w:val="0"/>
        </w:rPr>
        <w:t>. No site has yet adopted the library, so no adoption time or effort figure in this guide has been measured.</w:t>
      </w:r>
    </w:p>
    <w:p>
      <w:pPr>
        <w:pStyle w:val="ListBullet"/>
        <w:spacing w:after="40"/>
        <w:ind w:left="360" w:hanging="259"/>
      </w:pPr>
      <w:r>
        <w:rPr>
          <w:b/>
        </w:rPr>
        <w:t>Open items.</w:t>
      </w:r>
      <w:r>
        <w:rPr>
          <w:b w:val="0"/>
        </w:rPr>
        <w:t xml:space="preserve"> The network points on the Anti-Kickback Statute, the physician self-referral (Stark) law, DEA registration and HIPAA structure (SOP-902, SOP-904, SOP-905), and whether a Network Office may run feasibility queries on a member site's data under a business associate agreement (SOP-200 Network note), are open questions for counsel.</w:t>
      </w:r>
    </w:p>
    <w:p>
      <w:pPr>
        <w:pStyle w:val="ListBullet"/>
        <w:spacing w:after="40"/>
        <w:ind w:left="360" w:hanging="259"/>
      </w:pPr>
      <w:r>
        <w:rPr>
          <w:b/>
        </w:rPr>
        <w:t>Not legal advice.</w:t>
      </w:r>
      <w:r>
        <w:rPr>
          <w:b w:val="0"/>
        </w:rPr>
        <w:t xml:space="preserve"> The library describes operating steps. It is not legal advice. The adopting site confirms law, IRB requirements and sponsor requirements with its own counsel and reviewers.</w:t>
      </w:r>
    </w:p>
    <w:p>
      <w:pPr>
        <w:pStyle w:val="ListBullet"/>
        <w:spacing w:after="40"/>
        <w:ind w:left="360" w:hanging="259"/>
      </w:pPr>
      <w:r>
        <w:rPr>
          <w:b/>
        </w:rPr>
        <w:t>Ownership.</w:t>
      </w:r>
      <w:r>
        <w:rPr>
          <w:b w:val="0"/>
        </w:rPr>
        <w:t xml:space="preserve"> Once the site approves the library under its own signatures, the adopting site owns every word of it and answers for it to sponsors, IRBs and inspectors.</w:t>
      </w:r>
    </w:p>
    <w:p>
      <w:pPr>
        <w:pStyle w:val="Heading1"/>
      </w:pPr>
      <w:r>
        <w:t>1. What this library includes</w:t>
      </w:r>
    </w:p>
    <w:p>
      <w:pPr/>
      <w:r>
        <w:rPr>
          <w:b w:val="0"/>
        </w:rPr>
        <w:t>This library is a configurable template of SOPs, forms and guides written for an independent US clinical research site running industry-sponsored drug, biologic and device trials under a central IRB. It covers the investigator-site work described in the SOPs and excludes the areas listed in section 7. Version 1.1 adds a network layer so the same library can run a network of sites under a central Network Office. It is written to ICH E6(R3) and current FDA regulations. A site adopts it by filling in its own details, making the decisions the templates leave open, approving it under its own signatures and training staff before it takes effect.</w:t>
      </w:r>
    </w:p>
    <w:tbl>
      <w:tblPr>
        <w:tblStyle w:val="TableGrid"/>
        <w:tblW w:type="auto" w:w="0"/>
        <w:jc w:val="left"/>
        <w:tblLayout w:type="fixed"/>
        <w:tblLook w:firstColumn="1" w:firstRow="1" w:lastColumn="0" w:lastRow="0" w:noHBand="0" w:noVBand="1" w:val="04A0"/>
      </w:tblPr>
      <w:tblGrid>
        <w:gridCol w:w="1856"/>
        <w:gridCol w:w="5339"/>
        <w:gridCol w:w="2451"/>
      </w:tblGrid>
      <w:tr>
        <w:trPr>
          <w:tblHeader w:val="true"/>
        </w:trPr>
        <w:tc>
          <w:tcPr>
            <w:tcW w:type="dxa" w:w="1856"/>
            <w:shd w:val="clear" w:color="auto" w:fill="D9E2F3"/>
          </w:tcPr>
          <w:p>
            <w:pPr>
              <w:keepNext/>
              <w:spacing w:after="0"/>
            </w:pPr>
            <w:r>
              <w:rPr>
                <w:b/>
                <w:sz w:val="19"/>
              </w:rPr>
              <w:t>Component</w:t>
            </w:r>
          </w:p>
        </w:tc>
        <w:tc>
          <w:tcPr>
            <w:tcW w:type="dxa" w:w="5339"/>
            <w:shd w:val="clear" w:color="auto" w:fill="D9E2F3"/>
          </w:tcPr>
          <w:p>
            <w:pPr>
              <w:keepNext/>
              <w:spacing w:after="0"/>
            </w:pPr>
            <w:r>
              <w:rPr>
                <w:b/>
                <w:sz w:val="19"/>
              </w:rPr>
              <w:t>What it is</w:t>
            </w:r>
          </w:p>
        </w:tc>
        <w:tc>
          <w:tcPr>
            <w:tcW w:type="dxa" w:w="2451"/>
            <w:shd w:val="clear" w:color="auto" w:fill="D9E2F3"/>
          </w:tcPr>
          <w:p>
            <w:pPr>
              <w:keepNext/>
              <w:spacing w:after="0"/>
            </w:pPr>
            <w:r>
              <w:rPr>
                <w:b/>
                <w:sz w:val="19"/>
              </w:rPr>
              <w:t>Where it is used</w:t>
            </w:r>
          </w:p>
        </w:tc>
      </w:tr>
      <w:tr>
        <w:trPr>
          <w:cantSplit w:val="true"/>
        </w:trPr>
        <w:tc>
          <w:tcPr>
            <w:tcW w:type="dxa" w:w="1856"/>
          </w:tcPr>
          <w:p>
            <w:pPr>
              <w:keepNext/>
              <w:spacing w:after="0"/>
            </w:pPr>
            <w:r>
              <w:rPr>
                <w:b w:val="0"/>
                <w:sz w:val="19"/>
              </w:rPr>
              <w:t>SOPs</w:t>
            </w:r>
          </w:p>
        </w:tc>
        <w:tc>
          <w:tcPr>
            <w:tcW w:type="dxa" w:w="5339"/>
          </w:tcPr>
          <w:p>
            <w:pPr>
              <w:keepNext/>
              <w:spacing w:after="0"/>
            </w:pPr>
            <w:r>
              <w:rPr>
                <w:b w:val="0"/>
                <w:sz w:val="19"/>
              </w:rPr>
              <w:t>48 procedures: 42 core SOPs in eight series (100 governance and quality system, 200 start-up and regulatory, 300 study conduct, 400 data, privacy and systems, 500 safety, 600 monitoring and close-out, 700 quality assurance, 800 investigator-initiated research) plus 6 network SOPs (SOP-900 to SOP-905, Model N only)</w:t>
            </w:r>
          </w:p>
        </w:tc>
        <w:tc>
          <w:tcPr>
            <w:tcW w:type="dxa" w:w="2451"/>
          </w:tcPr>
          <w:p>
            <w:pPr>
              <w:keepNext/>
              <w:spacing w:after="0"/>
            </w:pPr>
            <w:r>
              <w:rPr>
                <w:b w:val="0"/>
                <w:sz w:val="19"/>
              </w:rPr>
              <w:t>Day-to-day work and staff training</w:t>
            </w:r>
          </w:p>
        </w:tc>
      </w:tr>
      <w:tr>
        <w:trPr>
          <w:cantSplit w:val="true"/>
        </w:trPr>
        <w:tc>
          <w:tcPr>
            <w:tcW w:type="dxa" w:w="1856"/>
          </w:tcPr>
          <w:p>
            <w:pPr>
              <w:keepNext/>
              <w:spacing w:after="0"/>
            </w:pPr>
            <w:r>
              <w:rPr>
                <w:b w:val="0"/>
                <w:sz w:val="19"/>
              </w:rPr>
              <w:t>Forms</w:t>
            </w:r>
          </w:p>
        </w:tc>
        <w:tc>
          <w:tcPr>
            <w:tcW w:type="dxa" w:w="5339"/>
          </w:tcPr>
          <w:p>
            <w:pPr>
              <w:keepNext/>
              <w:spacing w:after="0"/>
            </w:pPr>
            <w:r>
              <w:rPr>
                <w:b w:val="0"/>
                <w:sz w:val="19"/>
              </w:rPr>
              <w:t>59 controlled forms and logs coded F-XXX-NN, each belonging to one SOP: 50 core forms plus 9 network forms (F-900-01 to F-905-01, Model N only)</w:t>
            </w:r>
          </w:p>
        </w:tc>
        <w:tc>
          <w:tcPr>
            <w:tcW w:type="dxa" w:w="2451"/>
          </w:tcPr>
          <w:p>
            <w:pPr>
              <w:keepNext/>
              <w:spacing w:after="0"/>
            </w:pPr>
            <w:r>
              <w:rPr>
                <w:b w:val="0"/>
                <w:sz w:val="19"/>
              </w:rPr>
              <w:t>Evidence that each step was done</w:t>
            </w:r>
          </w:p>
        </w:tc>
      </w:tr>
      <w:tr>
        <w:trPr>
          <w:cantSplit w:val="true"/>
        </w:trPr>
        <w:tc>
          <w:tcPr>
            <w:tcW w:type="dxa" w:w="1856"/>
          </w:tcPr>
          <w:p>
            <w:pPr>
              <w:keepNext/>
              <w:spacing w:after="0"/>
            </w:pPr>
            <w:r>
              <w:rPr>
                <w:b w:val="0"/>
                <w:sz w:val="19"/>
              </w:rPr>
              <w:t>Network notes</w:t>
            </w:r>
          </w:p>
        </w:tc>
        <w:tc>
          <w:tcPr>
            <w:tcW w:type="dxa" w:w="5339"/>
          </w:tcPr>
          <w:p>
            <w:pPr>
              <w:keepNext/>
              <w:spacing w:after="0"/>
            </w:pPr>
            <w:r>
              <w:rPr>
                <w:b w:val="0"/>
                <w:sz w:val="19"/>
              </w:rPr>
              <w:t>Blue boxes in the core SOPs that say what changes in a network</w:t>
            </w:r>
          </w:p>
        </w:tc>
        <w:tc>
          <w:tcPr>
            <w:tcW w:type="dxa" w:w="2451"/>
          </w:tcPr>
          <w:p>
            <w:pPr>
              <w:keepNext/>
              <w:spacing w:after="0"/>
            </w:pPr>
            <w:r>
              <w:rPr>
                <w:b w:val="0"/>
                <w:sz w:val="19"/>
              </w:rPr>
              <w:t>Model N only</w:t>
            </w:r>
          </w:p>
        </w:tc>
      </w:tr>
      <w:tr>
        <w:trPr>
          <w:cantSplit w:val="true"/>
        </w:trPr>
        <w:tc>
          <w:tcPr>
            <w:tcW w:type="dxa" w:w="1856"/>
          </w:tcPr>
          <w:p>
            <w:pPr>
              <w:keepNext/>
              <w:spacing w:after="0"/>
            </w:pPr>
            <w:r>
              <w:rPr>
                <w:b w:val="0"/>
                <w:sz w:val="19"/>
              </w:rPr>
              <w:t>Appendix B Central and Site Responsibility Matrix</w:t>
            </w:r>
          </w:p>
        </w:tc>
        <w:tc>
          <w:tcPr>
            <w:tcW w:type="dxa" w:w="5339"/>
          </w:tcPr>
          <w:p>
            <w:pPr>
              <w:keepNext/>
              <w:spacing w:after="0"/>
            </w:pPr>
            <w:r>
              <w:rPr>
                <w:b w:val="0"/>
                <w:sz w:val="19"/>
              </w:rPr>
              <w:t>Who does each major activity in a network: Network Office, member site or shared, with a default for each network variant</w:t>
            </w:r>
          </w:p>
        </w:tc>
        <w:tc>
          <w:tcPr>
            <w:tcW w:type="dxa" w:w="2451"/>
          </w:tcPr>
          <w:p>
            <w:pPr>
              <w:keepNext/>
              <w:spacing w:after="0"/>
            </w:pPr>
            <w:r>
              <w:rPr>
                <w:b w:val="0"/>
                <w:sz w:val="19"/>
              </w:rPr>
              <w:t>Model N only</w:t>
            </w:r>
          </w:p>
        </w:tc>
      </w:tr>
      <w:tr>
        <w:trPr>
          <w:cantSplit w:val="true"/>
        </w:trPr>
        <w:tc>
          <w:tcPr>
            <w:tcW w:type="dxa" w:w="1856"/>
          </w:tcPr>
          <w:p>
            <w:pPr>
              <w:keepNext/>
              <w:spacing w:after="0"/>
            </w:pPr>
            <w:r>
              <w:rPr>
                <w:b w:val="0"/>
                <w:sz w:val="19"/>
              </w:rPr>
              <w:t>Appendix A State Law Worksheet</w:t>
            </w:r>
          </w:p>
        </w:tc>
        <w:tc>
          <w:tcPr>
            <w:tcW w:type="dxa" w:w="5339"/>
          </w:tcPr>
          <w:p>
            <w:pPr>
              <w:keepNext/>
              <w:spacing w:after="0"/>
            </w:pPr>
            <w:r>
              <w:rPr>
                <w:b w:val="0"/>
                <w:sz w:val="19"/>
              </w:rPr>
              <w:t>One worksheet per state covering consent by representatives, minors, record retention and other state rules</w:t>
            </w:r>
          </w:p>
        </w:tc>
        <w:tc>
          <w:tcPr>
            <w:tcW w:type="dxa" w:w="2451"/>
          </w:tcPr>
          <w:p>
            <w:pPr>
              <w:keepNext/>
              <w:spacing w:after="0"/>
            </w:pPr>
            <w:r>
              <w:rPr>
                <w:b w:val="0"/>
                <w:sz w:val="19"/>
              </w:rPr>
              <w:t>Consent, privacy and records SOPs</w:t>
            </w:r>
          </w:p>
        </w:tc>
      </w:tr>
      <w:tr>
        <w:trPr>
          <w:cantSplit w:val="true"/>
        </w:trPr>
        <w:tc>
          <w:tcPr>
            <w:tcW w:type="dxa" w:w="1856"/>
          </w:tcPr>
          <w:p>
            <w:pPr>
              <w:keepNext/>
              <w:spacing w:after="0"/>
            </w:pPr>
            <w:r>
              <w:rPr>
                <w:b w:val="0"/>
                <w:sz w:val="19"/>
              </w:rPr>
              <w:t>Regulatory Currency Note</w:t>
            </w:r>
          </w:p>
        </w:tc>
        <w:tc>
          <w:tcPr>
            <w:tcW w:type="dxa" w:w="5339"/>
          </w:tcPr>
          <w:p>
            <w:pPr>
              <w:keepNext/>
              <w:spacing w:after="0"/>
            </w:pPr>
            <w:r>
              <w:rPr>
                <w:b w:val="0"/>
                <w:sz w:val="19"/>
              </w:rPr>
              <w:t>The regulatory baseline the library was written against, dated, with items to re-check</w:t>
            </w:r>
          </w:p>
        </w:tc>
        <w:tc>
          <w:tcPr>
            <w:tcW w:type="dxa" w:w="2451"/>
          </w:tcPr>
          <w:p>
            <w:pPr>
              <w:keepNext/>
              <w:spacing w:after="0"/>
            </w:pPr>
            <w:r>
              <w:rPr>
                <w:b w:val="0"/>
                <w:sz w:val="19"/>
              </w:rPr>
              <w:t>Adoption and each periodic review</w:t>
            </w:r>
          </w:p>
        </w:tc>
      </w:tr>
      <w:tr>
        <w:trPr>
          <w:cantSplit w:val="true"/>
        </w:trPr>
        <w:tc>
          <w:tcPr>
            <w:tcW w:type="dxa" w:w="1856"/>
          </w:tcPr>
          <w:p>
            <w:pPr>
              <w:spacing w:after="0"/>
            </w:pPr>
            <w:r>
              <w:rPr>
                <w:b w:val="0"/>
                <w:sz w:val="19"/>
              </w:rPr>
              <w:t>This Adoption Guide</w:t>
            </w:r>
          </w:p>
        </w:tc>
        <w:tc>
          <w:tcPr>
            <w:tcW w:type="dxa" w:w="5339"/>
          </w:tcPr>
          <w:p>
            <w:pPr>
              <w:spacing w:after="0"/>
            </w:pPr>
            <w:r>
              <w:rPr>
                <w:b w:val="0"/>
                <w:sz w:val="19"/>
              </w:rPr>
              <w:t>How to adopt and maintain the library</w:t>
            </w:r>
          </w:p>
        </w:tc>
        <w:tc>
          <w:tcPr>
            <w:tcW w:type="dxa" w:w="2451"/>
          </w:tcPr>
          <w:p>
            <w:pPr>
              <w:spacing w:after="0"/>
            </w:pPr>
            <w:r>
              <w:rPr>
                <w:b w:val="0"/>
                <w:sz w:val="19"/>
              </w:rPr>
              <w:t>Quality Lead and Site Director</w:t>
            </w:r>
          </w:p>
        </w:tc>
      </w:tr>
    </w:tbl>
    <w:p>
      <w:pPr>
        <w:spacing w:after="40"/>
      </w:pPr>
    </w:p>
    <w:p>
      <w:pPr/>
      <w:r>
        <w:rPr>
          <w:b w:val="0"/>
        </w:rPr>
        <w:t>Three markers in the SOPs need action at adoption:</w:t>
      </w:r>
    </w:p>
    <w:p>
      <w:pPr>
        <w:pStyle w:val="ListBullet"/>
        <w:spacing w:after="40"/>
        <w:ind w:left="360" w:hanging="259"/>
      </w:pPr>
      <w:r>
        <w:rPr>
          <w:b/>
        </w:rPr>
        <w:t>Placeholders</w:t>
      </w:r>
      <w:r>
        <w:rPr>
          <w:b w:val="0"/>
        </w:rPr>
        <w:t xml:space="preserve"> in square brackets and capitals, for example </w:t>
      </w:r>
      <w:r>
        <w:rPr>
          <w:b w:val="0"/>
          <w:highlight w:val="yellow"/>
        </w:rPr>
        <w:t>[SITE NAME]</w:t>
      </w:r>
      <w:r>
        <w:rPr>
          <w:b w:val="0"/>
        </w:rPr>
        <w:t xml:space="preserve">, </w:t>
      </w:r>
      <w:r>
        <w:rPr>
          <w:b w:val="0"/>
          <w:highlight w:val="yellow"/>
        </w:rPr>
        <w:t>[CENTRAL IRB NAME]</w:t>
      </w:r>
      <w:r>
        <w:rPr>
          <w:b w:val="0"/>
        </w:rPr>
        <w:t xml:space="preserve">, </w:t>
      </w:r>
      <w:r>
        <w:rPr>
          <w:b w:val="0"/>
          <w:highlight w:val="yellow"/>
        </w:rPr>
        <w:t>[STATE]</w:t>
      </w:r>
      <w:r>
        <w:rPr>
          <w:b w:val="0"/>
        </w:rPr>
        <w:t>. Replace each with the site's information.</w:t>
      </w:r>
    </w:p>
    <w:p>
      <w:pPr>
        <w:pStyle w:val="ListBullet"/>
        <w:spacing w:after="40"/>
        <w:ind w:left="360" w:hanging="259"/>
      </w:pPr>
      <w:r>
        <w:rPr>
          <w:b/>
        </w:rPr>
        <w:t>Site decision</w:t>
      </w:r>
      <w:r>
        <w:rPr>
          <w:b w:val="0"/>
        </w:rPr>
        <w:t xml:space="preserve"> boxes. Each one names a choice the site must make and record, for example which roles may obtain consent.</w:t>
      </w:r>
    </w:p>
    <w:p>
      <w:pPr>
        <w:pStyle w:val="ListBullet"/>
        <w:spacing w:after="40"/>
        <w:ind w:left="360" w:hanging="259"/>
      </w:pPr>
      <w:r>
        <w:rPr>
          <w:b/>
          <w:highlight w:val="green"/>
        </w:rPr>
        <w:t>[DEFAULT: ...]</w:t>
      </w:r>
      <w:r>
        <w:rPr>
          <w:b w:val="0"/>
        </w:rPr>
        <w:t xml:space="preserve"> values, for example </w:t>
      </w:r>
      <w:r>
        <w:rPr>
          <w:b w:val="0"/>
          <w:highlight w:val="green"/>
        </w:rPr>
        <w:t>[DEFAULT: 2 business days]</w:t>
      </w:r>
      <w:r>
        <w:rPr>
          <w:b w:val="0"/>
        </w:rPr>
        <w:t>. The library sets a starting value. The site confirms it or changes it, then removes the marker.</w:t>
      </w:r>
    </w:p>
    <w:p>
      <w:pPr>
        <w:pStyle w:val="Heading1"/>
      </w:pPr>
      <w:r>
        <w:t>2. Choose your operating model</w:t>
      </w:r>
    </w:p>
    <w:p>
      <w:pPr/>
      <w:r>
        <w:rPr>
          <w:b w:val="0"/>
        </w:rPr>
        <w:t>Decide first whether the library will run one site or a network. The choice changes who approves SOPs, who does central work and which documents apply. Record it in the operating model Site decision in SOP-100 (5.10.1.1). Model S also records it on F-100-03 SOP Master Index and Review Schedule; Model N records it on F-900-02 Network Operating Model and Appendix B Adoption Record.</w:t>
      </w:r>
    </w:p>
    <w:tbl>
      <w:tblPr>
        <w:tblStyle w:val="TableGrid"/>
        <w:tblW w:type="auto" w:w="0"/>
        <w:jc w:val="left"/>
        <w:tblLayout w:type="fixed"/>
        <w:tblLook w:firstColumn="1" w:firstRow="1" w:lastColumn="0" w:lastRow="0" w:noHBand="0" w:noVBand="1" w:val="04A0"/>
      </w:tblPr>
      <w:tblGrid>
        <w:gridCol w:w="1532"/>
        <w:gridCol w:w="4075"/>
        <w:gridCol w:w="4040"/>
      </w:tblGrid>
      <w:tr>
        <w:trPr>
          <w:tblHeader w:val="true"/>
        </w:trPr>
        <w:tc>
          <w:tcPr>
            <w:tcW w:type="dxa" w:w="1532"/>
            <w:shd w:val="clear" w:color="auto" w:fill="D9E2F3"/>
          </w:tcPr>
          <w:p>
            <w:pPr>
              <w:keepNext/>
              <w:spacing w:after="0"/>
            </w:pPr>
            <w:r>
              <w:rPr>
                <w:b/>
                <w:sz w:val="19"/>
              </w:rPr>
              <w:t>Model</w:t>
            </w:r>
          </w:p>
        </w:tc>
        <w:tc>
          <w:tcPr>
            <w:tcW w:type="dxa" w:w="4075"/>
            <w:shd w:val="clear" w:color="auto" w:fill="D9E2F3"/>
          </w:tcPr>
          <w:p>
            <w:pPr>
              <w:keepNext/>
              <w:spacing w:after="0"/>
            </w:pPr>
            <w:r>
              <w:rPr>
                <w:b/>
                <w:sz w:val="19"/>
              </w:rPr>
              <w:t>What it is</w:t>
            </w:r>
          </w:p>
        </w:tc>
        <w:tc>
          <w:tcPr>
            <w:tcW w:type="dxa" w:w="4040"/>
            <w:shd w:val="clear" w:color="auto" w:fill="D9E2F3"/>
          </w:tcPr>
          <w:p>
            <w:pPr>
              <w:keepNext/>
              <w:spacing w:after="0"/>
            </w:pPr>
            <w:r>
              <w:rPr>
                <w:b/>
                <w:sz w:val="19"/>
              </w:rPr>
              <w:t>What applies</w:t>
            </w:r>
          </w:p>
        </w:tc>
      </w:tr>
      <w:tr>
        <w:trPr>
          <w:cantSplit w:val="true"/>
        </w:trPr>
        <w:tc>
          <w:tcPr>
            <w:tcW w:type="dxa" w:w="1532"/>
          </w:tcPr>
          <w:p>
            <w:pPr>
              <w:keepNext/>
              <w:spacing w:after="0"/>
            </w:pPr>
            <w:r>
              <w:rPr>
                <w:b w:val="0"/>
                <w:sz w:val="19"/>
              </w:rPr>
              <w:t>Model S, single site</w:t>
            </w:r>
          </w:p>
        </w:tc>
        <w:tc>
          <w:tcPr>
            <w:tcW w:type="dxa" w:w="4075"/>
          </w:tcPr>
          <w:p>
            <w:pPr>
              <w:keepNext/>
              <w:spacing w:after="0"/>
            </w:pPr>
            <w:r>
              <w:rPr>
                <w:b w:val="0"/>
                <w:sz w:val="19"/>
              </w:rPr>
              <w:t>One legal entity, one leadership team, one or more locations</w:t>
            </w:r>
          </w:p>
        </w:tc>
        <w:tc>
          <w:tcPr>
            <w:tcW w:type="dxa" w:w="4040"/>
          </w:tcPr>
          <w:p>
            <w:pPr>
              <w:keepNext/>
              <w:spacing w:after="0"/>
            </w:pPr>
            <w:r>
              <w:rPr>
                <w:b w:val="0"/>
                <w:sz w:val="19"/>
              </w:rPr>
              <w:t>The 42 core SOPs and 48 core forms, Appendix A, this guide and the Regulatory Currency Note. Ignore every Network note, SOP-900 to SOP-905, Appendix B and the F-9xx forms</w:t>
            </w:r>
          </w:p>
        </w:tc>
      </w:tr>
      <w:tr>
        <w:trPr>
          <w:cantSplit w:val="true"/>
        </w:trPr>
        <w:tc>
          <w:tcPr>
            <w:tcW w:type="dxa" w:w="1532"/>
          </w:tcPr>
          <w:p>
            <w:pPr>
              <w:keepNext/>
              <w:spacing w:after="0"/>
            </w:pPr>
            <w:r>
              <w:rPr>
                <w:b w:val="0"/>
                <w:sz w:val="19"/>
              </w:rPr>
              <w:t>Model N, N-Integrated</w:t>
            </w:r>
          </w:p>
        </w:tc>
        <w:tc>
          <w:tcPr>
            <w:tcW w:type="dxa" w:w="4075"/>
          </w:tcPr>
          <w:p>
            <w:pPr>
              <w:keepNext/>
              <w:spacing w:after="0"/>
            </w:pPr>
            <w:r>
              <w:rPr>
                <w:b w:val="0"/>
                <w:sz w:val="19"/>
              </w:rPr>
              <w:t>A Network Office plus two or more member sites that are part of one legal entity (for example a platform company or SMO that acquired practices and operates them in the same entity). Staff are employees of that entity.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c>
          <w:tcPr>
            <w:tcW w:type="dxa" w:w="4040"/>
          </w:tcPr>
          <w:p>
            <w:pPr>
              <w:keepNext/>
              <w:spacing w:after="0"/>
            </w:pPr>
            <w:r>
              <w:rPr>
                <w:b w:val="0"/>
                <w:sz w:val="19"/>
              </w:rPr>
              <w:t>Everything in Model S plus the Network notes, SOP-900 to SOP-905, Appendix B and the F-9xx forms</w:t>
            </w:r>
          </w:p>
        </w:tc>
      </w:tr>
      <w:tr>
        <w:trPr>
          <w:cantSplit w:val="true"/>
        </w:trPr>
        <w:tc>
          <w:tcPr>
            <w:tcW w:type="dxa" w:w="1532"/>
          </w:tcPr>
          <w:p>
            <w:pPr>
              <w:spacing w:after="0"/>
            </w:pPr>
            <w:r>
              <w:rPr>
                <w:b w:val="0"/>
                <w:sz w:val="19"/>
              </w:rPr>
              <w:t>Model N, N-Affiliated</w:t>
            </w:r>
          </w:p>
        </w:tc>
        <w:tc>
          <w:tcPr>
            <w:tcW w:type="dxa" w:w="4075"/>
          </w:tcPr>
          <w:p>
            <w:pPr>
              <w:spacing w:after="0"/>
            </w:pPr>
            <w:r>
              <w:rPr>
                <w:b w:val="0"/>
                <w:sz w:val="19"/>
              </w:rPr>
              <w:t>A Network Office plus member sites that are separate legal entities bound by a network or affiliation agreement (for example a consortium or a management-services model)</w:t>
            </w:r>
          </w:p>
        </w:tc>
        <w:tc>
          <w:tcPr>
            <w:tcW w:type="dxa" w:w="4040"/>
          </w:tcPr>
          <w:p>
            <w:pPr>
              <w:spacing w:after="0"/>
            </w:pPr>
            <w:r>
              <w:rPr>
                <w:b w:val="0"/>
                <w:sz w:val="19"/>
              </w:rPr>
              <w:t>As N-Integrated, but each member entity keeps its own legal duties. The Network Office can act for a site only as the network agreement allows, and PHI crosses between entities only on a basis recorded on F-905-01</w:t>
            </w:r>
          </w:p>
        </w:tc>
      </w:tr>
    </w:tbl>
    <w:p>
      <w:pPr>
        <w:spacing w:after="40"/>
      </w:pPr>
    </w:p>
    <w:p>
      <w:pPr/>
      <w:r>
        <w:rPr>
          <w:b w:val="0"/>
        </w:rPr>
        <w:t>Points that decide the variant:</w:t>
      </w:r>
    </w:p>
    <w:p>
      <w:pPr>
        <w:pStyle w:val="ListBullet"/>
        <w:spacing w:after="40"/>
        <w:ind w:left="360" w:hanging="259"/>
      </w:pPr>
      <w:r>
        <w:rPr>
          <w:b w:val="0"/>
        </w:rPr>
        <w:t>Who owns each site, and who employs the staff.</w:t>
      </w:r>
    </w:p>
    <w:p>
      <w:pPr>
        <w:pStyle w:val="ListBullet"/>
        <w:spacing w:after="40"/>
        <w:ind w:left="360" w:hanging="259"/>
      </w:pPr>
      <w:r>
        <w:rPr>
          <w:b w:val="0"/>
        </w:rPr>
        <w:t>Whether there is one HIPAA covered entity, an affiliated covered entity, or separate covered entities.</w:t>
      </w:r>
    </w:p>
    <w:p>
      <w:pPr>
        <w:pStyle w:val="ListBullet"/>
        <w:spacing w:after="40"/>
        <w:ind w:left="360" w:hanging="259"/>
      </w:pPr>
      <w:r>
        <w:rPr>
          <w:b w:val="0"/>
        </w:rPr>
        <w:t>Who signs clinical trial agreements and receives sponsor payments.</w:t>
      </w:r>
    </w:p>
    <w:p>
      <w:pPr>
        <w:pStyle w:val="ListBullet"/>
        <w:spacing w:after="40"/>
        <w:ind w:left="360" w:hanging="259"/>
      </w:pPr>
      <w:r>
        <w:rPr>
          <w:b w:val="0"/>
        </w:rPr>
        <w:t>Separate companies under common ownership: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p>
      <w:pPr/>
      <w:r>
        <w:rPr>
          <w:b w:val="0"/>
        </w:rPr>
        <w:t>In every model, each PI keeps the investigator duties for the PI's studies at the PI's site. A network can centralize work around the PI; it cannot take the PI's duties.</w:t>
      </w:r>
    </w:p>
    <w:p>
      <w:pPr>
        <w:pStyle w:val="Heading1"/>
      </w:pPr>
      <w:r>
        <w:t>3. Before you start</w:t>
      </w:r>
    </w:p>
    <w:p>
      <w:pPr/>
      <w:r>
        <w:rPr>
          <w:b w:val="0"/>
        </w:rPr>
        <w:t>No site has yet adopted the library, so there is no measured adoption time. The figures below are an estimate of the effort by task, for planning only:</w:t>
      </w:r>
    </w:p>
    <w:p>
      <w:pPr>
        <w:pStyle w:val="ListBullet"/>
        <w:spacing w:after="40"/>
        <w:ind w:left="360" w:hanging="259"/>
      </w:pPr>
      <w:r>
        <w:rPr>
          <w:b w:val="0"/>
        </w:rPr>
        <w:t>reading: about 13 hours for the Quality Lead to read the core SOPs, the guides and the appendices once (about 150,000 words at 200 words a minute)</w:t>
      </w:r>
    </w:p>
    <w:p>
      <w:pPr>
        <w:pStyle w:val="ListBullet"/>
        <w:spacing w:after="40"/>
        <w:ind w:left="360" w:hanging="259"/>
      </w:pPr>
      <w:r>
        <w:rPr>
          <w:b w:val="0"/>
        </w:rPr>
        <w:t xml:space="preserve">Site decisions and defaults: </w:t>
      </w:r>
      <w:r>
        <w:rPr>
          <w:b w:val="0"/>
          <w:highlight w:val="yellow"/>
        </w:rPr>
        <w:t>[N]</w:t>
      </w:r>
      <w:r>
        <w:rPr>
          <w:b w:val="0"/>
        </w:rPr>
        <w:t xml:space="preserve"> meetings of the Quality Lead with the PI, Site Director and Finance / Contracts Lead to resolve every Site decision (Step 3) and confirm every default (Step 4)</w:t>
      </w:r>
    </w:p>
    <w:p>
      <w:pPr>
        <w:pStyle w:val="ListBullet"/>
        <w:spacing w:after="40"/>
        <w:ind w:left="360" w:hanging="259"/>
      </w:pPr>
      <w:r>
        <w:rPr>
          <w:b w:val="0"/>
        </w:rPr>
        <w:t>Appendix A: counsel time for each state where the site has a location or sees participants (Step 5)</w:t>
      </w:r>
    </w:p>
    <w:p>
      <w:pPr>
        <w:pStyle w:val="ListBullet"/>
        <w:spacing w:after="40"/>
        <w:ind w:left="360" w:hanging="259"/>
      </w:pPr>
      <w:r>
        <w:rPr>
          <w:b w:val="0"/>
        </w:rPr>
        <w:t>approvals: one F-100-01 approval record per SOP, with the signatures in Step 8</w:t>
      </w:r>
    </w:p>
    <w:p>
      <w:pPr>
        <w:pStyle w:val="ListBullet"/>
        <w:spacing w:after="40"/>
        <w:ind w:left="360" w:hanging="259"/>
      </w:pPr>
      <w:r>
        <w:rPr>
          <w:b w:val="0"/>
        </w:rPr>
        <w:t xml:space="preserve">training: </w:t>
      </w:r>
      <w:r>
        <w:rPr>
          <w:b w:val="0"/>
          <w:highlight w:val="yellow"/>
        </w:rPr>
        <w:t>[N]</w:t>
      </w:r>
      <w:r>
        <w:rPr>
          <w:b w:val="0"/>
        </w:rPr>
        <w:t xml:space="preserve"> hours per role, set from the role-based SOP assignment in Step 9</w:t>
      </w:r>
    </w:p>
    <w:p>
      <w:pPr/>
      <w:r>
        <w:rPr>
          <w:b w:val="0"/>
        </w:rPr>
        <w:t>Plan for:</w:t>
      </w:r>
    </w:p>
    <w:p>
      <w:pPr>
        <w:pStyle w:val="ListBullet"/>
        <w:spacing w:after="40"/>
        <w:ind w:left="360" w:hanging="259"/>
      </w:pPr>
      <w:r>
        <w:rPr>
          <w:b w:val="0"/>
        </w:rPr>
        <w:t>a Quality Lead with time set aside (see Step 1)</w:t>
      </w:r>
    </w:p>
    <w:p>
      <w:pPr>
        <w:pStyle w:val="ListBullet"/>
        <w:spacing w:after="40"/>
        <w:ind w:left="360" w:hanging="259"/>
      </w:pPr>
      <w:r>
        <w:rPr>
          <w:b w:val="0"/>
        </w:rPr>
        <w:t>the PI or PIs, for decisions about investigator duties, consent, safety and delegation</w:t>
      </w:r>
    </w:p>
    <w:p>
      <w:pPr>
        <w:pStyle w:val="ListBullet"/>
        <w:spacing w:after="40"/>
        <w:ind w:left="360" w:hanging="259"/>
      </w:pPr>
      <w:r>
        <w:rPr>
          <w:b w:val="0"/>
        </w:rPr>
        <w:t>the Regulatory Coordinator, for IRB, ISF and essential records decisions</w:t>
      </w:r>
    </w:p>
    <w:p>
      <w:pPr>
        <w:pStyle w:val="ListBullet"/>
        <w:spacing w:after="40"/>
        <w:ind w:left="360" w:hanging="259"/>
      </w:pPr>
      <w:r>
        <w:rPr>
          <w:b w:val="0"/>
        </w:rPr>
        <w:t>the Finance / Contracts Lead, for contracts, coverage analysis and payment decisions</w:t>
      </w:r>
    </w:p>
    <w:p>
      <w:pPr>
        <w:pStyle w:val="ListBullet"/>
        <w:spacing w:after="40"/>
        <w:ind w:left="360" w:hanging="259"/>
      </w:pPr>
      <w:r>
        <w:rPr>
          <w:b w:val="0"/>
        </w:rPr>
        <w:t>counsel, for Appendix A</w:t>
      </w:r>
    </w:p>
    <w:p>
      <w:pPr>
        <w:pStyle w:val="ListBullet"/>
        <w:spacing w:after="40"/>
        <w:ind w:left="360" w:hanging="259"/>
      </w:pPr>
      <w:r>
        <w:rPr>
          <w:b w:val="0"/>
        </w:rPr>
        <w:t>the central IRB's investigator manual and state-law guidance</w:t>
      </w:r>
    </w:p>
    <w:p>
      <w:pPr>
        <w:pStyle w:val="ListBullet"/>
        <w:spacing w:after="40"/>
        <w:ind w:left="360" w:hanging="259"/>
      </w:pPr>
      <w:r>
        <w:rPr>
          <w:b w:val="0"/>
        </w:rPr>
        <w:t>the SOP requirements in the site's current clinical trial agreements and master agreements with its main sponsors and CROs</w:t>
      </w:r>
    </w:p>
    <w:p>
      <w:pPr>
        <w:pStyle w:val="ListBullet"/>
        <w:spacing w:after="40"/>
        <w:ind w:left="360" w:hanging="259"/>
      </w:pPr>
      <w:r>
        <w:rPr>
          <w:b w:val="0"/>
        </w:rPr>
        <w:t>the site's existing SOPs, if any, so they can be mapped and retired</w:t>
      </w:r>
    </w:p>
    <w:p>
      <w:pPr>
        <w:pStyle w:val="Heading1"/>
      </w:pPr>
      <w:r>
        <w:t>4. Step-by-step adoption (Model S, and each member site in Model N)</w:t>
      </w:r>
    </w:p>
    <w:p>
      <w:pPr>
        <w:pStyle w:val="Heading2"/>
      </w:pPr>
      <w:r>
        <w:t>Step 1. Assign the Quality Lead and approve an adoption plan</w:t>
      </w:r>
    </w:p>
    <w:p>
      <w:pPr/>
      <w:r>
        <w:rPr>
          <w:b w:val="0"/>
        </w:rPr>
        <w:t>The Site Director names the Quality Lead in writing and records on F-102-01 Site Organization Chart and Role Assignment Record who holds every standard role (SOP-102): PI and Sub-Is, Regulatory Coordinator, Lead CRC and CRCs, Research Pharmacist or IP Manager, Finance / Contracts Lead and Quality Lead, with a named backup for each critical role. The Site Director also names the people who will hold the roles that some SOPs add to the standard list: Privacy Officer and Security Officer (SOP-400), a System Owner for each computerized system (SOP-401, F-401-01) and a Provider Owner for each service provider (SOP-105, F-105-01). The Quality Lead owns the SOP system (SOP-100 Writing, Approving and Controlling SOPs). At a small site the Quality Lead may also be the Site Director or hold another role, but the Quality Lead does not QC their own work (SOP-102 Site Organization, Roles and Staff Responsibilities). Where the Site Director is also the Quality Lead, reviews of the Site Director's own work or decisions go to the PI or, where the owner, PI and Site Director are the same person, to the independent reviewer named in the SOP-102 5.3 Site decision, who must not be employed by or report to that person. The Site Director approves a short adoption plan with target dates for each step below and the planned effective date.</w:t>
      </w:r>
    </w:p>
    <w:p>
      <w:pPr>
        <w:pStyle w:val="Heading2"/>
      </w:pPr>
      <w:r>
        <w:t>Step 2. Replace the placeholders</w:t>
      </w:r>
    </w:p>
    <w:p>
      <w:pPr/>
      <w:r>
        <w:rPr>
          <w:b w:val="0"/>
        </w:rPr>
        <w:t xml:space="preserve">The Quality Lead runs a find-and-replace for each site-wide placeholder across all SOPs and forms. Start with the common ones: </w:t>
      </w:r>
      <w:r>
        <w:rPr>
          <w:b w:val="0"/>
          <w:highlight w:val="yellow"/>
        </w:rPr>
        <w:t>[SITE NAME]</w:t>
      </w:r>
      <w:r>
        <w:rPr>
          <w:b w:val="0"/>
        </w:rPr>
        <w:t xml:space="preserve">, </w:t>
      </w:r>
      <w:r>
        <w:rPr>
          <w:b w:val="0"/>
          <w:highlight w:val="yellow"/>
        </w:rPr>
        <w:t>[SITE LEGAL NAME]</w:t>
      </w:r>
      <w:r>
        <w:rPr>
          <w:b w:val="0"/>
        </w:rPr>
        <w:t xml:space="preserve">, </w:t>
      </w:r>
      <w:r>
        <w:rPr>
          <w:b w:val="0"/>
          <w:highlight w:val="yellow"/>
        </w:rPr>
        <w:t>[CENTRAL IRB NAME]</w:t>
      </w:r>
      <w:r>
        <w:rPr>
          <w:b w:val="0"/>
        </w:rPr>
        <w:t xml:space="preserve">, </w:t>
      </w:r>
      <w:r>
        <w:rPr>
          <w:b w:val="0"/>
          <w:highlight w:val="yellow"/>
        </w:rPr>
        <w:t>[STATE]</w:t>
      </w:r>
      <w:r>
        <w:rPr>
          <w:b w:val="0"/>
        </w:rPr>
        <w:t xml:space="preserve">, </w:t>
      </w:r>
      <w:r>
        <w:rPr>
          <w:b w:val="0"/>
          <w:highlight w:val="yellow"/>
        </w:rPr>
        <w:t>[LEGAL COUNSEL]</w:t>
      </w:r>
      <w:r>
        <w:rPr>
          <w:b w:val="0"/>
        </w:rPr>
        <w:t xml:space="preserve">, </w:t>
      </w:r>
      <w:r>
        <w:rPr>
          <w:b w:val="0"/>
          <w:highlight w:val="yellow"/>
        </w:rPr>
        <w:t>[PRIVACY OFFICER NAME]</w:t>
      </w:r>
      <w:r>
        <w:rPr>
          <w:b w:val="0"/>
        </w:rPr>
        <w:t xml:space="preserve">, </w:t>
      </w:r>
      <w:r>
        <w:rPr>
          <w:b w:val="0"/>
          <w:highlight w:val="yellow"/>
        </w:rPr>
        <w:t>[SECURITY OFFICER NAME]</w:t>
      </w:r>
      <w:r>
        <w:rPr>
          <w:b w:val="0"/>
        </w:rPr>
        <w:t xml:space="preserve">. </w:t>
      </w:r>
      <w:r>
        <w:rPr>
          <w:b w:val="0"/>
          <w:highlight w:val="yellow"/>
        </w:rPr>
        <w:t>[SITE LEGAL NAME]</w:t>
      </w:r>
      <w:r>
        <w:rPr>
          <w:b w:val="0"/>
        </w:rPr>
        <w:t xml:space="preserve"> and </w:t>
      </w:r>
      <w:r>
        <w:rPr>
          <w:b w:val="0"/>
          <w:highlight w:val="yellow"/>
        </w:rPr>
        <w:t>[LEGAL COUNSEL]</w:t>
      </w:r>
      <w:r>
        <w:rPr>
          <w:b w:val="0"/>
        </w:rPr>
        <w:t xml:space="preserve"> are the standard names for the site's legal entity and its counsel throughout the library. Generic placeholders such as </w:t>
      </w:r>
      <w:r>
        <w:rPr>
          <w:b w:val="0"/>
          <w:highlight w:val="yellow"/>
        </w:rPr>
        <w:t>[DATE]</w:t>
      </w:r>
      <w:r>
        <w:rPr>
          <w:b w:val="0"/>
        </w:rPr>
        <w:t xml:space="preserve">, </w:t>
      </w:r>
      <w:r>
        <w:rPr>
          <w:b w:val="0"/>
          <w:highlight w:val="yellow"/>
        </w:rPr>
        <w:t>[NAME]</w:t>
      </w:r>
      <w:r>
        <w:rPr>
          <w:b w:val="0"/>
        </w:rPr>
        <w:t xml:space="preserve">, </w:t>
      </w:r>
      <w:r>
        <w:rPr>
          <w:b w:val="0"/>
          <w:highlight w:val="yellow"/>
        </w:rPr>
        <w:t>[N]</w:t>
      </w:r>
      <w:r>
        <w:rPr>
          <w:b w:val="0"/>
        </w:rPr>
        <w:t xml:space="preserve">, </w:t>
      </w:r>
      <w:r>
        <w:rPr>
          <w:b w:val="0"/>
          <w:highlight w:val="yellow"/>
        </w:rPr>
        <w:t>[ROLES]</w:t>
      </w:r>
      <w:r>
        <w:rPr>
          <w:b w:val="0"/>
        </w:rPr>
        <w:t xml:space="preserve">, </w:t>
      </w:r>
      <w:r>
        <w:rPr>
          <w:b w:val="0"/>
          <w:highlight w:val="yellow"/>
        </w:rPr>
        <w:t>[METHOD]</w:t>
      </w:r>
      <w:r>
        <w:rPr>
          <w:b w:val="0"/>
        </w:rPr>
        <w:t xml:space="preserve"> and </w:t>
      </w:r>
      <w:r>
        <w:rPr>
          <w:b w:val="0"/>
          <w:highlight w:val="yellow"/>
        </w:rPr>
        <w:t>[FREQUENCY]</w:t>
      </w:r>
      <w:r>
        <w:rPr>
          <w:b w:val="0"/>
        </w:rPr>
        <w:t xml:space="preserve"> mean different things in different places: resolve each one in place, reading the sentence around it, and never with a global replace. Then search for any remaining text in square brackets and capitals and resolve each one. Some placeholders name a tool or location (for example </w:t>
      </w:r>
      <w:r>
        <w:rPr>
          <w:b w:val="0"/>
          <w:highlight w:val="yellow"/>
        </w:rPr>
        <w:t>[IRB TRACKER]</w:t>
      </w:r>
      <w:r>
        <w:rPr>
          <w:b w:val="0"/>
        </w:rPr>
        <w:t xml:space="preserve">, </w:t>
      </w:r>
      <w:r>
        <w:rPr>
          <w:b w:val="0"/>
          <w:highlight w:val="yellow"/>
        </w:rPr>
        <w:t>[CONTRACT TRACKER]</w:t>
      </w:r>
      <w:r>
        <w:rPr>
          <w:b w:val="0"/>
        </w:rPr>
        <w:t xml:space="preserve">, </w:t>
      </w:r>
      <w:r>
        <w:rPr>
          <w:b w:val="0"/>
          <w:highlight w:val="yellow"/>
        </w:rPr>
        <w:t>[ACCOUNTING SYSTEM]</w:t>
      </w:r>
      <w:r>
        <w:rPr>
          <w:b w:val="0"/>
        </w:rPr>
        <w:t>); write the actual system or folder the site uses. If the site has no such tool, decide what it will use before the effective date.</w:t>
      </w:r>
    </w:p>
    <w:p>
      <w:pPr/>
      <w:r>
        <w:rPr>
          <w:b w:val="0"/>
        </w:rPr>
        <w:t>When finished, search once more for the opening square bracket. No placeholder should remain in an approved SOP.</w:t>
      </w:r>
    </w:p>
    <w:p>
      <w:pPr>
        <w:pStyle w:val="Heading2"/>
      </w:pPr>
      <w:r>
        <w:t>Step 3. Decide every Site decision and record it in the decision register</w:t>
      </w:r>
    </w:p>
    <w:p>
      <w:pPr/>
      <w:r>
        <w:rPr>
          <w:b w:val="0"/>
        </w:rPr>
        <w:t>The library has 56 Site decision boxes, and the register below has one row for each. D-01 to D-48 apply to every site: 47 core decisions from version 1.0 plus the operating model decision (D-48) added in version 1.1. D-49 to D-56 sit in the network SOPs (SOP-900 to SOP-905) and apply only in Model N; a Model S site deletes those rows. In Model N, the Network Quality Lead also records on F-900-02 whether each decision is resolved once for the network or by each member site (SOP-900, 5.4.4); a decision resolved per site is recorded in that site's register and, where it changes SOP text, in a local addendum (F-900-01). For each one, the Quality Lead brings the question to the person named in the box (usually the PI or Site Director), records the decision, and then either writes the decision into the box or replaces the box with the resulting procedure text (SOP-100). Keep a decision register so the site, sponsors and auditors can see what was decided and by whom.</w:t>
      </w:r>
    </w:p>
    <w:tbl>
      <w:tblPr>
        <w:tblStyle w:val="TableGrid"/>
        <w:tblW w:type="auto" w:w="0"/>
        <w:jc w:val="left"/>
        <w:tblLayout w:type="fixed"/>
        <w:tblLook w:firstColumn="1" w:firstRow="1" w:lastColumn="0" w:lastRow="0" w:noHBand="0" w:noVBand="1" w:val="04A0"/>
      </w:tblPr>
      <w:tblGrid>
        <w:gridCol w:w="702"/>
        <w:gridCol w:w="1117"/>
        <w:gridCol w:w="2981"/>
        <w:gridCol w:w="1248"/>
        <w:gridCol w:w="1219"/>
        <w:gridCol w:w="1129"/>
        <w:gridCol w:w="1248"/>
      </w:tblGrid>
      <w:tr>
        <w:trPr>
          <w:tblHeader w:val="true"/>
        </w:trPr>
        <w:tc>
          <w:tcPr>
            <w:tcW w:type="dxa" w:w="702"/>
            <w:shd w:val="clear" w:color="auto" w:fill="D9E2F3"/>
          </w:tcPr>
          <w:p>
            <w:pPr>
              <w:spacing w:after="0"/>
            </w:pPr>
            <w:r>
              <w:rPr>
                <w:b/>
                <w:sz w:val="19"/>
              </w:rPr>
              <w:t>Ref</w:t>
            </w:r>
          </w:p>
        </w:tc>
        <w:tc>
          <w:tcPr>
            <w:tcW w:type="dxa" w:w="1117"/>
            <w:shd w:val="clear" w:color="auto" w:fill="D9E2F3"/>
          </w:tcPr>
          <w:p>
            <w:pPr>
              <w:spacing w:after="0"/>
            </w:pPr>
            <w:r>
              <w:rPr>
                <w:b/>
                <w:sz w:val="19"/>
              </w:rPr>
              <w:t>SOP and section</w:t>
            </w:r>
          </w:p>
        </w:tc>
        <w:tc>
          <w:tcPr>
            <w:tcW w:type="dxa" w:w="2981"/>
            <w:shd w:val="clear" w:color="auto" w:fill="D9E2F3"/>
          </w:tcPr>
          <w:p>
            <w:pPr>
              <w:spacing w:after="0"/>
            </w:pPr>
            <w:r>
              <w:rPr>
                <w:b/>
                <w:sz w:val="19"/>
              </w:rPr>
              <w:t>Question</w:t>
            </w:r>
          </w:p>
        </w:tc>
        <w:tc>
          <w:tcPr>
            <w:tcW w:type="dxa" w:w="1248"/>
            <w:shd w:val="clear" w:color="auto" w:fill="D9E2F3"/>
          </w:tcPr>
          <w:p>
            <w:pPr>
              <w:spacing w:after="0"/>
            </w:pPr>
            <w:r>
              <w:rPr>
                <w:b/>
                <w:sz w:val="19"/>
              </w:rPr>
              <w:t>Decision</w:t>
            </w:r>
          </w:p>
        </w:tc>
        <w:tc>
          <w:tcPr>
            <w:tcW w:type="dxa" w:w="1219"/>
            <w:shd w:val="clear" w:color="auto" w:fill="D9E2F3"/>
          </w:tcPr>
          <w:p>
            <w:pPr>
              <w:spacing w:after="0"/>
            </w:pPr>
            <w:r>
              <w:rPr>
                <w:b/>
                <w:sz w:val="19"/>
              </w:rPr>
              <w:t>Decided by</w:t>
            </w:r>
          </w:p>
        </w:tc>
        <w:tc>
          <w:tcPr>
            <w:tcW w:type="dxa" w:w="1129"/>
            <w:shd w:val="clear" w:color="auto" w:fill="D9E2F3"/>
          </w:tcPr>
          <w:p>
            <w:pPr>
              <w:spacing w:after="0"/>
            </w:pPr>
            <w:r>
              <w:rPr>
                <w:b/>
                <w:sz w:val="19"/>
              </w:rPr>
              <w:t>Date</w:t>
            </w:r>
          </w:p>
        </w:tc>
        <w:tc>
          <w:tcPr>
            <w:tcW w:type="dxa" w:w="1248"/>
            <w:shd w:val="clear" w:color="auto" w:fill="D9E2F3"/>
          </w:tcPr>
          <w:p>
            <w:pPr>
              <w:spacing w:after="0"/>
            </w:pPr>
            <w:r>
              <w:rPr>
                <w:b/>
                <w:sz w:val="19"/>
              </w:rPr>
              <w:t>Where recorded in SOP</w:t>
            </w:r>
          </w:p>
        </w:tc>
      </w:tr>
      <w:tr>
        <w:trPr>
          <w:cantSplit w:val="true"/>
          <w:trHeight w:val="432"/>
        </w:trPr>
        <w:tc>
          <w:tcPr>
            <w:tcW w:type="dxa" w:w="702"/>
          </w:tcPr>
          <w:p>
            <w:pPr>
              <w:spacing w:after="0"/>
            </w:pPr>
            <w:r>
              <w:rPr>
                <w:b w:val="0"/>
                <w:sz w:val="19"/>
              </w:rPr>
              <w:t>D-01</w:t>
            </w:r>
          </w:p>
        </w:tc>
        <w:tc>
          <w:tcPr>
            <w:tcW w:type="dxa" w:w="1117"/>
          </w:tcPr>
          <w:p>
            <w:pPr>
              <w:spacing w:after="0"/>
            </w:pPr>
            <w:r>
              <w:rPr>
                <w:b w:val="0"/>
                <w:sz w:val="19"/>
              </w:rPr>
              <w:t>SOP-100, 5.4</w:t>
            </w:r>
          </w:p>
        </w:tc>
        <w:tc>
          <w:tcPr>
            <w:tcW w:type="dxa" w:w="2981"/>
          </w:tcPr>
          <w:p>
            <w:pPr>
              <w:spacing w:after="0"/>
            </w:pPr>
            <w:r>
              <w:rPr>
                <w:b w:val="0"/>
                <w:sz w:val="19"/>
              </w:rPr>
              <w:t>Who approves SOPs that need clinical sign-off</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D-02</w:t>
            </w:r>
          </w:p>
        </w:tc>
        <w:tc>
          <w:tcPr>
            <w:tcW w:type="dxa" w:w="1117"/>
          </w:tcPr>
          <w:p>
            <w:pPr>
              <w:spacing w:after="0"/>
            </w:pPr>
            <w:r>
              <w:rPr>
                <w:b w:val="0"/>
                <w:sz w:val="19"/>
              </w:rPr>
              <w:t>SOP-101, 5.1</w:t>
            </w:r>
          </w:p>
        </w:tc>
        <w:tc>
          <w:tcPr>
            <w:tcW w:type="dxa" w:w="2981"/>
          </w:tcPr>
          <w:p>
            <w:pPr>
              <w:spacing w:after="0"/>
            </w:pPr>
            <w:r>
              <w:rPr>
                <w:b w:val="0"/>
                <w:sz w:val="19"/>
              </w:rPr>
              <w:t>How PI workload is checked</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D-03</w:t>
            </w:r>
          </w:p>
        </w:tc>
        <w:tc>
          <w:tcPr>
            <w:tcW w:type="dxa" w:w="1117"/>
          </w:tcPr>
          <w:p>
            <w:pPr>
              <w:spacing w:after="0"/>
            </w:pPr>
            <w:r>
              <w:rPr>
                <w:b w:val="0"/>
                <w:sz w:val="19"/>
              </w:rPr>
              <w:t>SOP-102, 5.3</w:t>
            </w:r>
          </w:p>
        </w:tc>
        <w:tc>
          <w:tcPr>
            <w:tcW w:type="dxa" w:w="2981"/>
          </w:tcPr>
          <w:p>
            <w:pPr>
              <w:spacing w:after="0"/>
            </w:pPr>
            <w:r>
              <w:rPr>
                <w:b w:val="0"/>
                <w:sz w:val="19"/>
              </w:rPr>
              <w:t>How independence gaps are covered at a small site, and the named independent reviewer (not employed by or reporting to the owner, PI or Site Director)</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D-04</w:t>
            </w:r>
          </w:p>
        </w:tc>
        <w:tc>
          <w:tcPr>
            <w:tcW w:type="dxa" w:w="1117"/>
          </w:tcPr>
          <w:p>
            <w:pPr>
              <w:spacing w:after="0"/>
            </w:pPr>
            <w:r>
              <w:rPr>
                <w:b w:val="0"/>
                <w:sz w:val="19"/>
              </w:rPr>
              <w:t>SOP-102, 5.4</w:t>
            </w:r>
          </w:p>
        </w:tc>
        <w:tc>
          <w:tcPr>
            <w:tcW w:type="dxa" w:w="2981"/>
          </w:tcPr>
          <w:p>
            <w:pPr>
              <w:spacing w:after="0"/>
            </w:pPr>
            <w:r>
              <w:rPr>
                <w:b w:val="0"/>
                <w:sz w:val="19"/>
              </w:rPr>
              <w:t>Minimum PI presence at each location</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D-05</w:t>
            </w:r>
          </w:p>
        </w:tc>
        <w:tc>
          <w:tcPr>
            <w:tcW w:type="dxa" w:w="1117"/>
          </w:tcPr>
          <w:p>
            <w:pPr>
              <w:spacing w:after="0"/>
            </w:pPr>
            <w:r>
              <w:rPr>
                <w:b w:val="0"/>
                <w:sz w:val="19"/>
              </w:rPr>
              <w:t>SOP-103, 5.2</w:t>
            </w:r>
          </w:p>
        </w:tc>
        <w:tc>
          <w:tcPr>
            <w:tcW w:type="dxa" w:w="2981"/>
          </w:tcPr>
          <w:p>
            <w:pPr>
              <w:spacing w:after="0"/>
            </w:pPr>
            <w:r>
              <w:rPr>
                <w:b w:val="0"/>
                <w:sz w:val="19"/>
              </w:rPr>
              <w:t>Which roles must hold BLS or ACLS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D-06</w:t>
            </w:r>
          </w:p>
        </w:tc>
        <w:tc>
          <w:tcPr>
            <w:tcW w:type="dxa" w:w="1117"/>
          </w:tcPr>
          <w:p>
            <w:pPr>
              <w:spacing w:after="0"/>
            </w:pPr>
            <w:r>
              <w:rPr>
                <w:b w:val="0"/>
                <w:sz w:val="19"/>
              </w:rPr>
              <w:t>SOP-104, 5.1</w:t>
            </w:r>
          </w:p>
        </w:tc>
        <w:tc>
          <w:tcPr>
            <w:tcW w:type="dxa" w:w="2981"/>
          </w:tcPr>
          <w:p>
            <w:pPr>
              <w:spacing w:after="0"/>
            </w:pPr>
            <w:r>
              <w:rPr>
                <w:b w:val="0"/>
                <w:sz w:val="19"/>
              </w:rPr>
              <w:t>How sponsor payments to an investigator-owned site are disclosed</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D-07</w:t>
            </w:r>
          </w:p>
        </w:tc>
        <w:tc>
          <w:tcPr>
            <w:tcW w:type="dxa" w:w="1117"/>
          </w:tcPr>
          <w:p>
            <w:pPr>
              <w:spacing w:after="0"/>
            </w:pPr>
            <w:r>
              <w:rPr>
                <w:b w:val="0"/>
                <w:sz w:val="19"/>
              </w:rPr>
              <w:t>SOP-104, 5.4</w:t>
            </w:r>
          </w:p>
        </w:tc>
        <w:tc>
          <w:tcPr>
            <w:tcW w:type="dxa" w:w="2981"/>
          </w:tcPr>
          <w:p>
            <w:pPr>
              <w:spacing w:after="0"/>
            </w:pPr>
            <w:r>
              <w:rPr>
                <w:b w:val="0"/>
                <w:sz w:val="19"/>
              </w:rPr>
              <w:t>Enrollment incentives, bonuses and referral fees (default: prohibited)</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D-08</w:t>
            </w:r>
          </w:p>
        </w:tc>
        <w:tc>
          <w:tcPr>
            <w:tcW w:type="dxa" w:w="1117"/>
          </w:tcPr>
          <w:p>
            <w:pPr>
              <w:spacing w:after="0"/>
            </w:pPr>
            <w:r>
              <w:rPr>
                <w:b w:val="0"/>
                <w:sz w:val="19"/>
              </w:rPr>
              <w:t>SOP-105, 5.3</w:t>
            </w:r>
          </w:p>
        </w:tc>
        <w:tc>
          <w:tcPr>
            <w:tcW w:type="dxa" w:w="2981"/>
          </w:tcPr>
          <w:p>
            <w:pPr>
              <w:spacing w:after="0"/>
            </w:pPr>
            <w:r>
              <w:rPr>
                <w:b w:val="0"/>
                <w:sz w:val="19"/>
              </w:rPr>
              <w:t>Qualification method for high-risk providers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D-09</w:t>
            </w:r>
          </w:p>
        </w:tc>
        <w:tc>
          <w:tcPr>
            <w:tcW w:type="dxa" w:w="1117"/>
          </w:tcPr>
          <w:p>
            <w:pPr>
              <w:spacing w:after="0"/>
            </w:pPr>
            <w:r>
              <w:rPr>
                <w:b w:val="0"/>
                <w:sz w:val="19"/>
              </w:rPr>
              <w:t>SOP-200, 5.6</w:t>
            </w:r>
          </w:p>
        </w:tc>
        <w:tc>
          <w:tcPr>
            <w:tcW w:type="dxa" w:w="2981"/>
          </w:tcPr>
          <w:p>
            <w:pPr>
              <w:spacing w:after="0"/>
            </w:pPr>
            <w:r>
              <w:rPr>
                <w:b w:val="0"/>
                <w:sz w:val="19"/>
              </w:rPr>
              <w:t>Expected or low enrollment value on sponsor questionnaires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D-10</w:t>
            </w:r>
          </w:p>
        </w:tc>
        <w:tc>
          <w:tcPr>
            <w:tcW w:type="dxa" w:w="1117"/>
          </w:tcPr>
          <w:p>
            <w:pPr>
              <w:spacing w:after="0"/>
            </w:pPr>
            <w:r>
              <w:rPr>
                <w:b w:val="0"/>
                <w:sz w:val="19"/>
              </w:rPr>
              <w:t>SOP-201, 5.3</w:t>
            </w:r>
          </w:p>
        </w:tc>
        <w:tc>
          <w:tcPr>
            <w:tcW w:type="dxa" w:w="2981"/>
          </w:tcPr>
          <w:p>
            <w:pPr>
              <w:spacing w:after="0"/>
            </w:pPr>
            <w:r>
              <w:rPr>
                <w:b w:val="0"/>
                <w:sz w:val="19"/>
              </w:rPr>
              <w:t>Owner of the contract playbook (kept outside the SOPs) and which positions negotiators may close without escalation</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D-11</w:t>
            </w:r>
          </w:p>
        </w:tc>
        <w:tc>
          <w:tcPr>
            <w:tcW w:type="dxa" w:w="1117"/>
          </w:tcPr>
          <w:p>
            <w:pPr>
              <w:spacing w:after="0"/>
            </w:pPr>
            <w:r>
              <w:rPr>
                <w:b w:val="0"/>
                <w:sz w:val="19"/>
              </w:rPr>
              <w:t>SOP-202, 5.9</w:t>
            </w:r>
          </w:p>
        </w:tc>
        <w:tc>
          <w:tcPr>
            <w:tcW w:type="dxa" w:w="2981"/>
          </w:tcPr>
          <w:p>
            <w:pPr>
              <w:spacing w:after="0"/>
            </w:pPr>
            <w:r>
              <w:rPr>
                <w:b w:val="0"/>
                <w:sz w:val="19"/>
              </w:rPr>
              <w:t>Whether the site bills insurance; in-house or vendor coverage analysis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D-12</w:t>
            </w:r>
          </w:p>
        </w:tc>
        <w:tc>
          <w:tcPr>
            <w:tcW w:type="dxa" w:w="1117"/>
          </w:tcPr>
          <w:p>
            <w:pPr>
              <w:spacing w:after="0"/>
            </w:pPr>
            <w:r>
              <w:rPr>
                <w:b w:val="0"/>
                <w:sz w:val="19"/>
              </w:rPr>
              <w:t>SOP-203, 5.1</w:t>
            </w:r>
          </w:p>
        </w:tc>
        <w:tc>
          <w:tcPr>
            <w:tcW w:type="dxa" w:w="2981"/>
          </w:tcPr>
          <w:p>
            <w:pPr>
              <w:spacing w:after="0"/>
            </w:pPr>
            <w:r>
              <w:rPr>
                <w:b w:val="0"/>
                <w:sz w:val="19"/>
              </w:rPr>
              <w:t>FWA, IRB accounts and who may submit</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D-13</w:t>
            </w:r>
          </w:p>
        </w:tc>
        <w:tc>
          <w:tcPr>
            <w:tcW w:type="dxa" w:w="1117"/>
          </w:tcPr>
          <w:p>
            <w:pPr>
              <w:spacing w:after="0"/>
            </w:pPr>
            <w:r>
              <w:rPr>
                <w:b w:val="0"/>
                <w:sz w:val="19"/>
              </w:rPr>
              <w:t>SOP-204, 5.1</w:t>
            </w:r>
          </w:p>
        </w:tc>
        <w:tc>
          <w:tcPr>
            <w:tcW w:type="dxa" w:w="2981"/>
          </w:tcPr>
          <w:p>
            <w:pPr>
              <w:spacing w:after="0"/>
            </w:pPr>
            <w:r>
              <w:rPr>
                <w:b w:val="0"/>
                <w:sz w:val="19"/>
              </w:rPr>
              <w:t>Default ISF format</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D-14</w:t>
            </w:r>
          </w:p>
        </w:tc>
        <w:tc>
          <w:tcPr>
            <w:tcW w:type="dxa" w:w="1117"/>
          </w:tcPr>
          <w:p>
            <w:pPr>
              <w:spacing w:after="0"/>
            </w:pPr>
            <w:r>
              <w:rPr>
                <w:b w:val="0"/>
                <w:sz w:val="19"/>
              </w:rPr>
              <w:t>SOP-300, 5.4</w:t>
            </w:r>
          </w:p>
        </w:tc>
        <w:tc>
          <w:tcPr>
            <w:tcW w:type="dxa" w:w="2981"/>
          </w:tcPr>
          <w:p>
            <w:pPr>
              <w:spacing w:after="0"/>
            </w:pPr>
            <w:r>
              <w:rPr>
                <w:b w:val="0"/>
                <w:sz w:val="19"/>
              </w:rPr>
              <w:t>Basis for the research volunteer database</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D-15</w:t>
            </w:r>
          </w:p>
        </w:tc>
        <w:tc>
          <w:tcPr>
            <w:tcW w:type="dxa" w:w="1117"/>
          </w:tcPr>
          <w:p>
            <w:pPr>
              <w:spacing w:after="0"/>
            </w:pPr>
            <w:r>
              <w:rPr>
                <w:b w:val="0"/>
                <w:sz w:val="19"/>
              </w:rPr>
              <w:t>SOP-300, 5.6</w:t>
            </w:r>
          </w:p>
        </w:tc>
        <w:tc>
          <w:tcPr>
            <w:tcW w:type="dxa" w:w="2981"/>
          </w:tcPr>
          <w:p>
            <w:pPr>
              <w:spacing w:after="0"/>
            </w:pPr>
            <w:r>
              <w:rPr>
                <w:b w:val="0"/>
                <w:sz w:val="19"/>
              </w:rPr>
              <w:t>Staff enrollment incentives and IRB disclosure</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D-16</w:t>
            </w:r>
          </w:p>
        </w:tc>
        <w:tc>
          <w:tcPr>
            <w:tcW w:type="dxa" w:w="1117"/>
          </w:tcPr>
          <w:p>
            <w:pPr>
              <w:spacing w:after="0"/>
            </w:pPr>
            <w:r>
              <w:rPr>
                <w:b w:val="0"/>
                <w:sz w:val="19"/>
              </w:rPr>
              <w:t>SOP-301, 5.1</w:t>
            </w:r>
          </w:p>
        </w:tc>
        <w:tc>
          <w:tcPr>
            <w:tcW w:type="dxa" w:w="2981"/>
          </w:tcPr>
          <w:p>
            <w:pPr>
              <w:spacing w:after="0"/>
            </w:pPr>
            <w:r>
              <w:rPr>
                <w:b w:val="0"/>
                <w:sz w:val="19"/>
              </w:rPr>
              <w:t>Which roles may obtain consent</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D-17</w:t>
            </w:r>
          </w:p>
        </w:tc>
        <w:tc>
          <w:tcPr>
            <w:tcW w:type="dxa" w:w="1117"/>
          </w:tcPr>
          <w:p>
            <w:pPr>
              <w:spacing w:after="0"/>
            </w:pPr>
            <w:r>
              <w:rPr>
                <w:b w:val="0"/>
                <w:sz w:val="19"/>
              </w:rPr>
              <w:t>SOP-301, 5.1</w:t>
            </w:r>
          </w:p>
        </w:tc>
        <w:tc>
          <w:tcPr>
            <w:tcW w:type="dxa" w:w="2981"/>
          </w:tcPr>
          <w:p>
            <w:pPr>
              <w:spacing w:after="0"/>
            </w:pPr>
            <w:r>
              <w:rPr>
                <w:b w:val="0"/>
                <w:sz w:val="19"/>
              </w:rPr>
              <w:t>Whether an investigator also signs each consent form</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D-18</w:t>
            </w:r>
          </w:p>
        </w:tc>
        <w:tc>
          <w:tcPr>
            <w:tcW w:type="dxa" w:w="1117"/>
          </w:tcPr>
          <w:p>
            <w:pPr>
              <w:spacing w:after="0"/>
            </w:pPr>
            <w:r>
              <w:rPr>
                <w:b w:val="0"/>
                <w:sz w:val="19"/>
              </w:rPr>
              <w:t>SOP-301, 5.9</w:t>
            </w:r>
          </w:p>
        </w:tc>
        <w:tc>
          <w:tcPr>
            <w:tcW w:type="dxa" w:w="2981"/>
          </w:tcPr>
          <w:p>
            <w:pPr>
              <w:spacing w:after="0"/>
            </w:pPr>
            <w:r>
              <w:rPr>
                <w:b w:val="0"/>
                <w:sz w:val="19"/>
              </w:rPr>
              <w:t>eConsent platforms and their qualification</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D-19</w:t>
            </w:r>
          </w:p>
        </w:tc>
        <w:tc>
          <w:tcPr>
            <w:tcW w:type="dxa" w:w="1117"/>
          </w:tcPr>
          <w:p>
            <w:pPr>
              <w:spacing w:after="0"/>
            </w:pPr>
            <w:r>
              <w:rPr>
                <w:b w:val="0"/>
                <w:sz w:val="19"/>
              </w:rPr>
              <w:t>SOP-302, 5.2</w:t>
            </w:r>
          </w:p>
        </w:tc>
        <w:tc>
          <w:tcPr>
            <w:tcW w:type="dxa" w:w="2981"/>
          </w:tcPr>
          <w:p>
            <w:pPr>
              <w:spacing w:after="0"/>
            </w:pPr>
            <w:r>
              <w:rPr>
                <w:b w:val="0"/>
                <w:sz w:val="19"/>
              </w:rPr>
              <w:t>Standard task list and investigator-only tasks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D-20</w:t>
            </w:r>
          </w:p>
        </w:tc>
        <w:tc>
          <w:tcPr>
            <w:tcW w:type="dxa" w:w="1117"/>
          </w:tcPr>
          <w:p>
            <w:pPr>
              <w:spacing w:after="0"/>
            </w:pPr>
            <w:r>
              <w:rPr>
                <w:b w:val="0"/>
                <w:sz w:val="19"/>
              </w:rPr>
              <w:t>SOP-303, 5.3</w:t>
            </w:r>
          </w:p>
        </w:tc>
        <w:tc>
          <w:tcPr>
            <w:tcW w:type="dxa" w:w="2981"/>
          </w:tcPr>
          <w:p>
            <w:pPr>
              <w:spacing w:after="0"/>
            </w:pPr>
            <w:r>
              <w:rPr>
                <w:b w:val="0"/>
                <w:sz w:val="19"/>
              </w:rPr>
              <w:t>Use of a research participant registry for concurrent enrollment</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D-21</w:t>
            </w:r>
          </w:p>
        </w:tc>
        <w:tc>
          <w:tcPr>
            <w:tcW w:type="dxa" w:w="1117"/>
          </w:tcPr>
          <w:p>
            <w:pPr>
              <w:spacing w:after="0"/>
            </w:pPr>
            <w:r>
              <w:rPr>
                <w:b w:val="0"/>
                <w:sz w:val="19"/>
              </w:rPr>
              <w:t>SOP-304, 5.1</w:t>
            </w:r>
          </w:p>
        </w:tc>
        <w:tc>
          <w:tcPr>
            <w:tcW w:type="dxa" w:w="2981"/>
          </w:tcPr>
          <w:p>
            <w:pPr>
              <w:spacing w:after="0"/>
            </w:pPr>
            <w:r>
              <w:rPr>
                <w:b w:val="0"/>
                <w:sz w:val="19"/>
              </w:rPr>
              <w:t>Continuous monitoring or min/max thermometers; alarm recipients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D-22</w:t>
            </w:r>
          </w:p>
        </w:tc>
        <w:tc>
          <w:tcPr>
            <w:tcW w:type="dxa" w:w="1117"/>
          </w:tcPr>
          <w:p>
            <w:pPr>
              <w:spacing w:after="0"/>
            </w:pPr>
            <w:r>
              <w:rPr>
                <w:b w:val="0"/>
                <w:sz w:val="19"/>
              </w:rPr>
              <w:t>SOP-305, 5.1</w:t>
            </w:r>
          </w:p>
        </w:tc>
        <w:tc>
          <w:tcPr>
            <w:tcW w:type="dxa" w:w="2981"/>
          </w:tcPr>
          <w:p>
            <w:pPr>
              <w:spacing w:after="0"/>
            </w:pPr>
            <w:r>
              <w:rPr>
                <w:b w:val="0"/>
                <w:sz w:val="19"/>
              </w:rPr>
              <w:t>Unblinded IP role holders and cover</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D-23</w:t>
            </w:r>
          </w:p>
        </w:tc>
        <w:tc>
          <w:tcPr>
            <w:tcW w:type="dxa" w:w="1117"/>
          </w:tcPr>
          <w:p>
            <w:pPr>
              <w:spacing w:after="0"/>
            </w:pPr>
            <w:r>
              <w:rPr>
                <w:b w:val="0"/>
                <w:sz w:val="19"/>
              </w:rPr>
              <w:t>SOP-306, 5.4</w:t>
            </w:r>
          </w:p>
        </w:tc>
        <w:tc>
          <w:tcPr>
            <w:tcW w:type="dxa" w:w="2981"/>
          </w:tcPr>
          <w:p>
            <w:pPr>
              <w:spacing w:after="0"/>
            </w:pPr>
            <w:r>
              <w:rPr>
                <w:b w:val="0"/>
                <w:sz w:val="19"/>
              </w:rPr>
              <w:t>EHR, worksheets or mix as primary source</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D-24</w:t>
            </w:r>
          </w:p>
        </w:tc>
        <w:tc>
          <w:tcPr>
            <w:tcW w:type="dxa" w:w="1117"/>
          </w:tcPr>
          <w:p>
            <w:pPr>
              <w:spacing w:after="0"/>
            </w:pPr>
            <w:r>
              <w:rPr>
                <w:b w:val="0"/>
                <w:sz w:val="19"/>
              </w:rPr>
              <w:t>SOP-309, 5.6</w:t>
            </w:r>
          </w:p>
        </w:tc>
        <w:tc>
          <w:tcPr>
            <w:tcW w:type="dxa" w:w="2981"/>
          </w:tcPr>
          <w:p>
            <w:pPr>
              <w:spacing w:after="0"/>
            </w:pPr>
            <w:r>
              <w:rPr>
                <w:b w:val="0"/>
                <w:sz w:val="19"/>
              </w:rPr>
              <w:t>Public-record and vital status searches after withdrawal</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D-25</w:t>
            </w:r>
          </w:p>
        </w:tc>
        <w:tc>
          <w:tcPr>
            <w:tcW w:type="dxa" w:w="1117"/>
          </w:tcPr>
          <w:p>
            <w:pPr>
              <w:spacing w:after="0"/>
            </w:pPr>
            <w:r>
              <w:rPr>
                <w:b w:val="0"/>
                <w:sz w:val="19"/>
              </w:rPr>
              <w:t>SOP-310, 5.3</w:t>
            </w:r>
          </w:p>
        </w:tc>
        <w:tc>
          <w:tcPr>
            <w:tcW w:type="dxa" w:w="2981"/>
          </w:tcPr>
          <w:p>
            <w:pPr>
              <w:spacing w:after="0"/>
            </w:pPr>
            <w:r>
              <w:rPr>
                <w:b w:val="0"/>
                <w:sz w:val="19"/>
              </w:rPr>
              <w:t>Which participants are asked for Form W-9</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D-26</w:t>
            </w:r>
          </w:p>
        </w:tc>
        <w:tc>
          <w:tcPr>
            <w:tcW w:type="dxa" w:w="1117"/>
          </w:tcPr>
          <w:p>
            <w:pPr>
              <w:spacing w:after="0"/>
            </w:pPr>
            <w:r>
              <w:rPr>
                <w:b w:val="0"/>
                <w:sz w:val="19"/>
              </w:rPr>
              <w:t>SOP-310, 5.4</w:t>
            </w:r>
          </w:p>
        </w:tc>
        <w:tc>
          <w:tcPr>
            <w:tcW w:type="dxa" w:w="2981"/>
          </w:tcPr>
          <w:p>
            <w:pPr>
              <w:spacing w:after="0"/>
            </w:pPr>
            <w:r>
              <w:rPr>
                <w:b w:val="0"/>
                <w:sz w:val="19"/>
              </w:rPr>
              <w:t>Whether cash payments are used</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D-27</w:t>
            </w:r>
          </w:p>
        </w:tc>
        <w:tc>
          <w:tcPr>
            <w:tcW w:type="dxa" w:w="1117"/>
          </w:tcPr>
          <w:p>
            <w:pPr>
              <w:spacing w:after="0"/>
            </w:pPr>
            <w:r>
              <w:rPr>
                <w:b w:val="0"/>
                <w:sz w:val="19"/>
              </w:rPr>
              <w:t>SOP-311, 5.8</w:t>
            </w:r>
          </w:p>
        </w:tc>
        <w:tc>
          <w:tcPr>
            <w:tcW w:type="dxa" w:w="2981"/>
          </w:tcPr>
          <w:p>
            <w:pPr>
              <w:spacing w:after="0"/>
            </w:pPr>
            <w:r>
              <w:rPr>
                <w:b w:val="0"/>
                <w:sz w:val="19"/>
              </w:rPr>
              <w:t>Second-person shipment check</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D-28</w:t>
            </w:r>
          </w:p>
        </w:tc>
        <w:tc>
          <w:tcPr>
            <w:tcW w:type="dxa" w:w="1117"/>
          </w:tcPr>
          <w:p>
            <w:pPr>
              <w:spacing w:after="0"/>
            </w:pPr>
            <w:r>
              <w:rPr>
                <w:b w:val="0"/>
                <w:sz w:val="19"/>
              </w:rPr>
              <w:t>SOP-312, 5.7</w:t>
            </w:r>
          </w:p>
        </w:tc>
        <w:tc>
          <w:tcPr>
            <w:tcW w:type="dxa" w:w="2981"/>
          </w:tcPr>
          <w:p>
            <w:pPr>
              <w:spacing w:after="0"/>
            </w:pPr>
            <w:r>
              <w:rPr>
                <w:b w:val="0"/>
                <w:sz w:val="19"/>
              </w:rPr>
              <w:t>CLIA certificate number and type per location</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D-29</w:t>
            </w:r>
          </w:p>
        </w:tc>
        <w:tc>
          <w:tcPr>
            <w:tcW w:type="dxa" w:w="1117"/>
          </w:tcPr>
          <w:p>
            <w:pPr>
              <w:spacing w:after="0"/>
            </w:pPr>
            <w:r>
              <w:rPr>
                <w:b w:val="0"/>
                <w:sz w:val="19"/>
              </w:rPr>
              <w:t>SOP-313, 5.2</w:t>
            </w:r>
          </w:p>
        </w:tc>
        <w:tc>
          <w:tcPr>
            <w:tcW w:type="dxa" w:w="2981"/>
          </w:tcPr>
          <w:p>
            <w:pPr>
              <w:spacing w:after="0"/>
            </w:pPr>
            <w:r>
              <w:rPr>
                <w:b w:val="0"/>
                <w:sz w:val="19"/>
              </w:rPr>
              <w:t>Whether to keep a local health care provider list</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D-30</w:t>
            </w:r>
          </w:p>
        </w:tc>
        <w:tc>
          <w:tcPr>
            <w:tcW w:type="dxa" w:w="1117"/>
          </w:tcPr>
          <w:p>
            <w:pPr>
              <w:spacing w:after="0"/>
            </w:pPr>
            <w:r>
              <w:rPr>
                <w:b w:val="0"/>
                <w:sz w:val="19"/>
              </w:rPr>
              <w:t>SOP-313, 5.4</w:t>
            </w:r>
          </w:p>
        </w:tc>
        <w:tc>
          <w:tcPr>
            <w:tcW w:type="dxa" w:w="2981"/>
          </w:tcPr>
          <w:p>
            <w:pPr>
              <w:spacing w:after="0"/>
            </w:pPr>
            <w:r>
              <w:rPr>
                <w:b w:val="0"/>
                <w:sz w:val="19"/>
              </w:rPr>
              <w:t>States where staff are licensed for remote visits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D-31</w:t>
            </w:r>
          </w:p>
        </w:tc>
        <w:tc>
          <w:tcPr>
            <w:tcW w:type="dxa" w:w="1117"/>
          </w:tcPr>
          <w:p>
            <w:pPr>
              <w:spacing w:after="0"/>
            </w:pPr>
            <w:r>
              <w:rPr>
                <w:b w:val="0"/>
                <w:sz w:val="19"/>
              </w:rPr>
              <w:t>SOP-400, 5.1</w:t>
            </w:r>
          </w:p>
        </w:tc>
        <w:tc>
          <w:tcPr>
            <w:tcW w:type="dxa" w:w="2981"/>
          </w:tcPr>
          <w:p>
            <w:pPr>
              <w:spacing w:after="0"/>
            </w:pPr>
            <w:r>
              <w:rPr>
                <w:b w:val="0"/>
                <w:sz w:val="19"/>
              </w:rPr>
              <w:t>HIPAA covered entity status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D-32</w:t>
            </w:r>
          </w:p>
        </w:tc>
        <w:tc>
          <w:tcPr>
            <w:tcW w:type="dxa" w:w="1117"/>
          </w:tcPr>
          <w:p>
            <w:pPr>
              <w:spacing w:after="0"/>
            </w:pPr>
            <w:r>
              <w:rPr>
                <w:b w:val="0"/>
                <w:sz w:val="19"/>
              </w:rPr>
              <w:t>SOP-400, 5.5</w:t>
            </w:r>
          </w:p>
        </w:tc>
        <w:tc>
          <w:tcPr>
            <w:tcW w:type="dxa" w:w="2981"/>
          </w:tcPr>
          <w:p>
            <w:pPr>
              <w:spacing w:after="0"/>
            </w:pPr>
            <w:r>
              <w:rPr>
                <w:b w:val="0"/>
                <w:sz w:val="19"/>
              </w:rPr>
              <w:t>How monitors access the EHR</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D-33</w:t>
            </w:r>
          </w:p>
        </w:tc>
        <w:tc>
          <w:tcPr>
            <w:tcW w:type="dxa" w:w="1117"/>
          </w:tcPr>
          <w:p>
            <w:pPr>
              <w:spacing w:after="0"/>
            </w:pPr>
            <w:r>
              <w:rPr>
                <w:b w:val="0"/>
                <w:sz w:val="19"/>
              </w:rPr>
              <w:t>SOP-401, 5.10</w:t>
            </w:r>
          </w:p>
        </w:tc>
        <w:tc>
          <w:tcPr>
            <w:tcW w:type="dxa" w:w="2981"/>
          </w:tcPr>
          <w:p>
            <w:pPr>
              <w:spacing w:after="0"/>
            </w:pPr>
            <w:r>
              <w:rPr>
                <w:b w:val="0"/>
                <w:sz w:val="19"/>
              </w:rPr>
              <w:t>AI tool policy and approved tools list</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D-34</w:t>
            </w:r>
          </w:p>
        </w:tc>
        <w:tc>
          <w:tcPr>
            <w:tcW w:type="dxa" w:w="1117"/>
          </w:tcPr>
          <w:p>
            <w:pPr>
              <w:spacing w:after="0"/>
            </w:pPr>
            <w:r>
              <w:rPr>
                <w:b w:val="0"/>
                <w:sz w:val="19"/>
              </w:rPr>
              <w:t>SOP-402, 5.1</w:t>
            </w:r>
          </w:p>
        </w:tc>
        <w:tc>
          <w:tcPr>
            <w:tcW w:type="dxa" w:w="2981"/>
          </w:tcPr>
          <w:p>
            <w:pPr>
              <w:spacing w:after="0"/>
            </w:pPr>
            <w:r>
              <w:rPr>
                <w:b w:val="0"/>
                <w:sz w:val="19"/>
              </w:rPr>
              <w:t>Retention rule for site-level records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D-35</w:t>
            </w:r>
          </w:p>
        </w:tc>
        <w:tc>
          <w:tcPr>
            <w:tcW w:type="dxa" w:w="1117"/>
          </w:tcPr>
          <w:p>
            <w:pPr>
              <w:spacing w:after="0"/>
            </w:pPr>
            <w:r>
              <w:rPr>
                <w:b w:val="0"/>
                <w:sz w:val="19"/>
              </w:rPr>
              <w:t>SOP-500, 5.1</w:t>
            </w:r>
          </w:p>
        </w:tc>
        <w:tc>
          <w:tcPr>
            <w:tcW w:type="dxa" w:w="2981"/>
          </w:tcPr>
          <w:p>
            <w:pPr>
              <w:spacing w:after="0"/>
            </w:pPr>
            <w:r>
              <w:rPr>
                <w:b w:val="0"/>
                <w:sz w:val="19"/>
              </w:rPr>
              <w:t>Which licensed roles may assess AEs and causality</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D-36</w:t>
            </w:r>
          </w:p>
        </w:tc>
        <w:tc>
          <w:tcPr>
            <w:tcW w:type="dxa" w:w="1117"/>
          </w:tcPr>
          <w:p>
            <w:pPr>
              <w:spacing w:after="0"/>
            </w:pPr>
            <w:r>
              <w:rPr>
                <w:b w:val="0"/>
                <w:sz w:val="19"/>
              </w:rPr>
              <w:t>SOP-500, 5.8</w:t>
            </w:r>
          </w:p>
        </w:tc>
        <w:tc>
          <w:tcPr>
            <w:tcW w:type="dxa" w:w="2981"/>
          </w:tcPr>
          <w:p>
            <w:pPr>
              <w:spacing w:after="0"/>
            </w:pPr>
            <w:r>
              <w:rPr>
                <w:b w:val="0"/>
                <w:sz w:val="19"/>
              </w:rPr>
              <w:t>After-hours coverage arrangement</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D-37</w:t>
            </w:r>
          </w:p>
        </w:tc>
        <w:tc>
          <w:tcPr>
            <w:tcW w:type="dxa" w:w="1117"/>
          </w:tcPr>
          <w:p>
            <w:pPr>
              <w:spacing w:after="0"/>
            </w:pPr>
            <w:r>
              <w:rPr>
                <w:b w:val="0"/>
                <w:sz w:val="19"/>
              </w:rPr>
              <w:t>SOP-501, 5.4</w:t>
            </w:r>
          </w:p>
        </w:tc>
        <w:tc>
          <w:tcPr>
            <w:tcW w:type="dxa" w:w="2981"/>
          </w:tcPr>
          <w:p>
            <w:pPr>
              <w:spacing w:after="0"/>
            </w:pPr>
            <w:r>
              <w:rPr>
                <w:b w:val="0"/>
                <w:sz w:val="19"/>
              </w:rPr>
              <w:t>Whether a CRC may submit an SAE report without causality when no investigator is reachable</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D-38</w:t>
            </w:r>
          </w:p>
        </w:tc>
        <w:tc>
          <w:tcPr>
            <w:tcW w:type="dxa" w:w="1117"/>
          </w:tcPr>
          <w:p>
            <w:pPr>
              <w:spacing w:after="0"/>
            </w:pPr>
            <w:r>
              <w:rPr>
                <w:b w:val="0"/>
                <w:sz w:val="19"/>
              </w:rPr>
              <w:t>SOP-502, 5.1</w:t>
            </w:r>
          </w:p>
        </w:tc>
        <w:tc>
          <w:tcPr>
            <w:tcW w:type="dxa" w:w="2981"/>
          </w:tcPr>
          <w:p>
            <w:pPr>
              <w:spacing w:after="0"/>
            </w:pPr>
            <w:r>
              <w:rPr>
                <w:b w:val="0"/>
                <w:sz w:val="19"/>
              </w:rPr>
              <w:t>Reporting window for each IRB, in calendar or business days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D-39</w:t>
            </w:r>
          </w:p>
        </w:tc>
        <w:tc>
          <w:tcPr>
            <w:tcW w:type="dxa" w:w="1117"/>
          </w:tcPr>
          <w:p>
            <w:pPr>
              <w:spacing w:after="0"/>
            </w:pPr>
            <w:r>
              <w:rPr>
                <w:b w:val="0"/>
                <w:sz w:val="19"/>
              </w:rPr>
              <w:t>SOP-503, 5.5</w:t>
            </w:r>
          </w:p>
        </w:tc>
        <w:tc>
          <w:tcPr>
            <w:tcW w:type="dxa" w:w="2981"/>
          </w:tcPr>
          <w:p>
            <w:pPr>
              <w:spacing w:after="0"/>
            </w:pPr>
            <w:r>
              <w:rPr>
                <w:b w:val="0"/>
                <w:sz w:val="19"/>
              </w:rPr>
              <w:t>Partner pregnancy notice before partner consent</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D-40</w:t>
            </w:r>
          </w:p>
        </w:tc>
        <w:tc>
          <w:tcPr>
            <w:tcW w:type="dxa" w:w="1117"/>
          </w:tcPr>
          <w:p>
            <w:pPr>
              <w:spacing w:after="0"/>
            </w:pPr>
            <w:r>
              <w:rPr>
                <w:b w:val="0"/>
                <w:sz w:val="19"/>
              </w:rPr>
              <w:t>SOP-503, 5.5</w:t>
            </w:r>
          </w:p>
        </w:tc>
        <w:tc>
          <w:tcPr>
            <w:tcW w:type="dxa" w:w="2981"/>
          </w:tcPr>
          <w:p>
            <w:pPr>
              <w:spacing w:after="0"/>
            </w:pPr>
            <w:r>
              <w:rPr>
                <w:b w:val="0"/>
                <w:sz w:val="19"/>
              </w:rPr>
              <w:t>Partner consent template and remote partner consent</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D-41</w:t>
            </w:r>
          </w:p>
        </w:tc>
        <w:tc>
          <w:tcPr>
            <w:tcW w:type="dxa" w:w="1117"/>
          </w:tcPr>
          <w:p>
            <w:pPr>
              <w:spacing w:after="0"/>
            </w:pPr>
            <w:r>
              <w:rPr>
                <w:b w:val="0"/>
                <w:sz w:val="19"/>
              </w:rPr>
              <w:t>SOP-600, 5.1</w:t>
            </w:r>
          </w:p>
        </w:tc>
        <w:tc>
          <w:tcPr>
            <w:tcW w:type="dxa" w:w="2981"/>
          </w:tcPr>
          <w:p>
            <w:pPr>
              <w:spacing w:after="0"/>
            </w:pPr>
            <w:r>
              <w:rPr>
                <w:b w:val="0"/>
                <w:sz w:val="19"/>
              </w:rPr>
              <w:t>Remote monitoring methods permitted</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D-42</w:t>
            </w:r>
          </w:p>
        </w:tc>
        <w:tc>
          <w:tcPr>
            <w:tcW w:type="dxa" w:w="1117"/>
          </w:tcPr>
          <w:p>
            <w:pPr>
              <w:spacing w:after="0"/>
            </w:pPr>
            <w:r>
              <w:rPr>
                <w:b w:val="0"/>
                <w:sz w:val="19"/>
              </w:rPr>
              <w:t>SOP-700, 5.3</w:t>
            </w:r>
          </w:p>
        </w:tc>
        <w:tc>
          <w:tcPr>
            <w:tcW w:type="dxa" w:w="2981"/>
          </w:tcPr>
          <w:p>
            <w:pPr>
              <w:spacing w:after="0"/>
            </w:pPr>
            <w:r>
              <w:rPr>
                <w:b w:val="0"/>
                <w:sz w:val="19"/>
              </w:rPr>
              <w:t>Internal reviewers, external QC service or both</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D-43</w:t>
            </w:r>
          </w:p>
        </w:tc>
        <w:tc>
          <w:tcPr>
            <w:tcW w:type="dxa" w:w="1117"/>
          </w:tcPr>
          <w:p>
            <w:pPr>
              <w:spacing w:after="0"/>
            </w:pPr>
            <w:r>
              <w:rPr>
                <w:b w:val="0"/>
                <w:sz w:val="19"/>
              </w:rPr>
              <w:t>SOP-700, 5.6</w:t>
            </w:r>
          </w:p>
        </w:tc>
        <w:tc>
          <w:tcPr>
            <w:tcW w:type="dxa" w:w="2981"/>
          </w:tcPr>
          <w:p>
            <w:pPr>
              <w:spacing w:after="0"/>
            </w:pPr>
            <w:r>
              <w:rPr>
                <w:b w:val="0"/>
                <w:sz w:val="19"/>
              </w:rPr>
              <w:t>Sharing internal audit reports with sponsors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D-44</w:t>
            </w:r>
          </w:p>
        </w:tc>
        <w:tc>
          <w:tcPr>
            <w:tcW w:type="dxa" w:w="1117"/>
          </w:tcPr>
          <w:p>
            <w:pPr>
              <w:spacing w:after="0"/>
            </w:pPr>
            <w:r>
              <w:rPr>
                <w:b w:val="0"/>
                <w:sz w:val="19"/>
              </w:rPr>
              <w:t>SOP-704, 5.2</w:t>
            </w:r>
          </w:p>
        </w:tc>
        <w:tc>
          <w:tcPr>
            <w:tcW w:type="dxa" w:w="2981"/>
          </w:tcPr>
          <w:p>
            <w:pPr>
              <w:spacing w:after="0"/>
            </w:pPr>
            <w:r>
              <w:rPr>
                <w:b w:val="0"/>
                <w:sz w:val="19"/>
              </w:rPr>
              <w:t>Anonymous reporting route</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D-45</w:t>
            </w:r>
          </w:p>
        </w:tc>
        <w:tc>
          <w:tcPr>
            <w:tcW w:type="dxa" w:w="1117"/>
          </w:tcPr>
          <w:p>
            <w:pPr>
              <w:spacing w:after="0"/>
            </w:pPr>
            <w:r>
              <w:rPr>
                <w:b w:val="0"/>
                <w:sz w:val="19"/>
              </w:rPr>
              <w:t>SOP-704, 5.7</w:t>
            </w:r>
          </w:p>
        </w:tc>
        <w:tc>
          <w:tcPr>
            <w:tcW w:type="dxa" w:w="2981"/>
          </w:tcPr>
          <w:p>
            <w:pPr>
              <w:spacing w:after="0"/>
            </w:pPr>
            <w:r>
              <w:rPr>
                <w:b w:val="0"/>
                <w:sz w:val="19"/>
              </w:rPr>
              <w:t>Added screening lists (SAM.gov, state Medicaid)</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D-46</w:t>
            </w:r>
          </w:p>
        </w:tc>
        <w:tc>
          <w:tcPr>
            <w:tcW w:type="dxa" w:w="1117"/>
          </w:tcPr>
          <w:p>
            <w:pPr>
              <w:spacing w:after="0"/>
            </w:pPr>
            <w:r>
              <w:rPr>
                <w:b w:val="0"/>
                <w:sz w:val="19"/>
              </w:rPr>
              <w:t>SOP-800, 2</w:t>
            </w:r>
          </w:p>
        </w:tc>
        <w:tc>
          <w:tcPr>
            <w:tcW w:type="dxa" w:w="2981"/>
          </w:tcPr>
          <w:p>
            <w:pPr>
              <w:spacing w:after="0"/>
            </w:pPr>
            <w:r>
              <w:rPr>
                <w:b w:val="0"/>
                <w:sz w:val="19"/>
              </w:rPr>
              <w:t>Whether the site conducts sponsor-investigator studies at all</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D-47</w:t>
            </w:r>
          </w:p>
        </w:tc>
        <w:tc>
          <w:tcPr>
            <w:tcW w:type="dxa" w:w="1117"/>
          </w:tcPr>
          <w:p>
            <w:pPr>
              <w:spacing w:after="0"/>
            </w:pPr>
            <w:r>
              <w:rPr>
                <w:b w:val="0"/>
                <w:sz w:val="19"/>
              </w:rPr>
              <w:t>SOP-303, 5.4</w:t>
            </w:r>
          </w:p>
        </w:tc>
        <w:tc>
          <w:tcPr>
            <w:tcW w:type="dxa" w:w="2981"/>
          </w:tcPr>
          <w:p>
            <w:pPr>
              <w:spacing w:after="0"/>
            </w:pPr>
            <w:r>
              <w:rPr>
                <w:b w:val="0"/>
                <w:sz w:val="19"/>
              </w:rPr>
              <w:t>Second-person eligibility review: every participant or a narrower rule</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D-48</w:t>
            </w:r>
          </w:p>
        </w:tc>
        <w:tc>
          <w:tcPr>
            <w:tcW w:type="dxa" w:w="1117"/>
          </w:tcPr>
          <w:p>
            <w:pPr>
              <w:spacing w:after="0"/>
            </w:pPr>
            <w:r>
              <w:rPr>
                <w:b w:val="0"/>
                <w:sz w:val="19"/>
              </w:rPr>
              <w:t>SOP-100, 5.10</w:t>
            </w:r>
          </w:p>
        </w:tc>
        <w:tc>
          <w:tcPr>
            <w:tcW w:type="dxa" w:w="2981"/>
          </w:tcPr>
          <w:p>
            <w:pPr>
              <w:spacing w:after="0"/>
            </w:pPr>
            <w:r>
              <w:rPr>
                <w:b w:val="0"/>
                <w:sz w:val="19"/>
              </w:rPr>
              <w:t>Operating model: Model S, Model N-Integrated or Model N-Affiliated (section 2)</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D-49</w:t>
            </w:r>
          </w:p>
        </w:tc>
        <w:tc>
          <w:tcPr>
            <w:tcW w:type="dxa" w:w="1117"/>
          </w:tcPr>
          <w:p>
            <w:pPr>
              <w:spacing w:after="0"/>
            </w:pPr>
            <w:r>
              <w:rPr>
                <w:b w:val="0"/>
                <w:sz w:val="19"/>
              </w:rPr>
              <w:t>SOP-900, 5.1</w:t>
            </w:r>
          </w:p>
        </w:tc>
        <w:tc>
          <w:tcPr>
            <w:tcW w:type="dxa" w:w="2981"/>
          </w:tcPr>
          <w:p>
            <w:pPr>
              <w:spacing w:after="0"/>
            </w:pPr>
            <w:r>
              <w:rPr>
                <w:b w:val="0"/>
                <w:sz w:val="19"/>
              </w:rPr>
              <w:t>(Model N) Whether the network appoints a Network Medical Director, and the scope of the role</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D-50</w:t>
            </w:r>
          </w:p>
        </w:tc>
        <w:tc>
          <w:tcPr>
            <w:tcW w:type="dxa" w:w="1117"/>
          </w:tcPr>
          <w:p>
            <w:pPr>
              <w:spacing w:after="0"/>
            </w:pPr>
            <w:r>
              <w:rPr>
                <w:b w:val="0"/>
                <w:sz w:val="19"/>
              </w:rPr>
              <w:t>SOP-900, 5.4</w:t>
            </w:r>
          </w:p>
        </w:tc>
        <w:tc>
          <w:tcPr>
            <w:tcW w:type="dxa" w:w="2981"/>
          </w:tcPr>
          <w:p>
            <w:pPr>
              <w:spacing w:after="0"/>
            </w:pPr>
            <w:r>
              <w:rPr>
                <w:b w:val="0"/>
                <w:sz w:val="19"/>
              </w:rPr>
              <w:t xml:space="preserve">(Model N) Which </w:t>
            </w:r>
            <w:r>
              <w:rPr>
                <w:b w:val="0"/>
                <w:sz w:val="19"/>
                <w:highlight w:val="green"/>
              </w:rPr>
              <w:t>[DEFAULT]</w:t>
            </w:r>
            <w:r>
              <w:rPr>
                <w:b w:val="0"/>
                <w:sz w:val="19"/>
              </w:rPr>
              <w:t xml:space="preserve"> values are network minimums and which each member site may set</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D-51</w:t>
            </w:r>
          </w:p>
        </w:tc>
        <w:tc>
          <w:tcPr>
            <w:tcW w:type="dxa" w:w="1117"/>
          </w:tcPr>
          <w:p>
            <w:pPr>
              <w:spacing w:after="0"/>
            </w:pPr>
            <w:r>
              <w:rPr>
                <w:b w:val="0"/>
                <w:sz w:val="19"/>
              </w:rPr>
              <w:t>SOP-902, 5.1</w:t>
            </w:r>
          </w:p>
        </w:tc>
        <w:tc>
          <w:tcPr>
            <w:tcW w:type="dxa" w:w="2981"/>
          </w:tcPr>
          <w:p>
            <w:pPr>
              <w:spacing w:after="0"/>
            </w:pPr>
            <w:r>
              <w:rPr>
                <w:b w:val="0"/>
                <w:sz w:val="19"/>
              </w:rPr>
              <w:t>(Model N) N-Affiliated: whether member sites may take studies outside the network, and whether they must tell central intake</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D-52</w:t>
            </w:r>
          </w:p>
        </w:tc>
        <w:tc>
          <w:tcPr>
            <w:tcW w:type="dxa" w:w="1117"/>
          </w:tcPr>
          <w:p>
            <w:pPr>
              <w:spacing w:after="0"/>
            </w:pPr>
            <w:r>
              <w:rPr>
                <w:b w:val="0"/>
                <w:sz w:val="19"/>
              </w:rPr>
              <w:t>SOP-902, 5.5</w:t>
            </w:r>
          </w:p>
        </w:tc>
        <w:tc>
          <w:tcPr>
            <w:tcW w:type="dxa" w:w="2981"/>
          </w:tcPr>
          <w:p>
            <w:pPr>
              <w:spacing w:after="0"/>
            </w:pPr>
            <w:r>
              <w:rPr>
                <w:b w:val="0"/>
                <w:sz w:val="19"/>
              </w:rPr>
              <w:t>(Model N) N-Affiliated: default contract structure (site-signed, tri-party or network-signed with site subcontract)</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D-53</w:t>
            </w:r>
          </w:p>
        </w:tc>
        <w:tc>
          <w:tcPr>
            <w:tcW w:type="dxa" w:w="1117"/>
          </w:tcPr>
          <w:p>
            <w:pPr>
              <w:spacing w:after="0"/>
            </w:pPr>
            <w:r>
              <w:rPr>
                <w:b w:val="0"/>
                <w:sz w:val="19"/>
              </w:rPr>
              <w:t>SOP-903, 5.1</w:t>
            </w:r>
          </w:p>
        </w:tc>
        <w:tc>
          <w:tcPr>
            <w:tcW w:type="dxa" w:w="2981"/>
          </w:tcPr>
          <w:p>
            <w:pPr>
              <w:spacing w:after="0"/>
            </w:pPr>
            <w:r>
              <w:rPr>
                <w:b w:val="0"/>
                <w:sz w:val="19"/>
              </w:rPr>
              <w:t>(Model N) Whether any staff or investigator compensation is linked to enrollment, and the controls</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D-54</w:t>
            </w:r>
          </w:p>
        </w:tc>
        <w:tc>
          <w:tcPr>
            <w:tcW w:type="dxa" w:w="1117"/>
          </w:tcPr>
          <w:p>
            <w:pPr>
              <w:spacing w:after="0"/>
            </w:pPr>
            <w:r>
              <w:rPr>
                <w:b w:val="0"/>
                <w:sz w:val="19"/>
              </w:rPr>
              <w:t>SOP-904, 5.6</w:t>
            </w:r>
          </w:p>
        </w:tc>
        <w:tc>
          <w:tcPr>
            <w:tcW w:type="dxa" w:w="2981"/>
          </w:tcPr>
          <w:p>
            <w:pPr>
              <w:spacing w:after="0"/>
            </w:pPr>
            <w:r>
              <w:rPr>
                <w:b w:val="0"/>
                <w:sz w:val="19"/>
              </w:rPr>
              <w:t>(Model N) N-Affiliated: HIPAA status of shared staff (workforce or business associate) and which insurance covers them</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D-55</w:t>
            </w:r>
          </w:p>
        </w:tc>
        <w:tc>
          <w:tcPr>
            <w:tcW w:type="dxa" w:w="1117"/>
          </w:tcPr>
          <w:p>
            <w:pPr>
              <w:spacing w:after="0"/>
            </w:pPr>
            <w:r>
              <w:rPr>
                <w:b w:val="0"/>
                <w:sz w:val="19"/>
              </w:rPr>
              <w:t>SOP-905, 5.3</w:t>
            </w:r>
          </w:p>
        </w:tc>
        <w:tc>
          <w:tcPr>
            <w:tcW w:type="dxa" w:w="2981"/>
          </w:tcPr>
          <w:p>
            <w:pPr>
              <w:spacing w:after="0"/>
            </w:pPr>
            <w:r>
              <w:rPr>
                <w:b w:val="0"/>
                <w:sz w:val="19"/>
              </w:rPr>
              <w:t>(Model N) The network's HIPAA structure (one covered entity, affiliated covered entity or separate covered entities) and any OHCA relied on</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r>
        <w:trPr>
          <w:cantSplit w:val="true"/>
          <w:trHeight w:val="432"/>
        </w:trPr>
        <w:tc>
          <w:tcPr>
            <w:tcW w:type="dxa" w:w="702"/>
          </w:tcPr>
          <w:p>
            <w:pPr>
              <w:spacing w:after="0"/>
            </w:pPr>
            <w:r>
              <w:rPr>
                <w:b w:val="0"/>
                <w:sz w:val="19"/>
              </w:rPr>
              <w:t>D-56</w:t>
            </w:r>
          </w:p>
        </w:tc>
        <w:tc>
          <w:tcPr>
            <w:tcW w:type="dxa" w:w="1117"/>
          </w:tcPr>
          <w:p>
            <w:pPr>
              <w:spacing w:after="0"/>
            </w:pPr>
            <w:r>
              <w:rPr>
                <w:b w:val="0"/>
                <w:sz w:val="19"/>
              </w:rPr>
              <w:t>SOP-905, 5.4</w:t>
            </w:r>
          </w:p>
        </w:tc>
        <w:tc>
          <w:tcPr>
            <w:tcW w:type="dxa" w:w="2981"/>
          </w:tcPr>
          <w:p>
            <w:pPr>
              <w:spacing w:after="0"/>
            </w:pPr>
            <w:r>
              <w:rPr>
                <w:b w:val="0"/>
                <w:sz w:val="19"/>
              </w:rPr>
              <w:t>(Model N) Each network database or registry and its governing basis (IRB protocol or policy, authorization or agreement language, System Owner)</w:t>
            </w:r>
          </w:p>
        </w:tc>
        <w:tc>
          <w:tcPr>
            <w:tcW w:type="dxa" w:w="1248"/>
          </w:tcPr>
          <w:p>
            <w:pPr>
              <w:spacing w:after="0"/>
            </w:pPr>
          </w:p>
        </w:tc>
        <w:tc>
          <w:tcPr>
            <w:tcW w:type="dxa" w:w="1219"/>
          </w:tcPr>
          <w:p>
            <w:pPr>
              <w:spacing w:after="0"/>
            </w:pPr>
          </w:p>
        </w:tc>
        <w:tc>
          <w:tcPr>
            <w:tcW w:type="dxa" w:w="1129"/>
          </w:tcPr>
          <w:p>
            <w:pPr>
              <w:spacing w:after="0"/>
            </w:pPr>
          </w:p>
        </w:tc>
        <w:tc>
          <w:tcPr>
            <w:tcW w:type="dxa" w:w="1248"/>
          </w:tcPr>
          <w:p>
            <w:pPr>
              <w:spacing w:after="0"/>
            </w:pPr>
          </w:p>
        </w:tc>
      </w:tr>
    </w:tbl>
    <w:p>
      <w:pPr>
        <w:spacing w:after="40"/>
      </w:pPr>
    </w:p>
    <w:p>
      <w:pPr/>
      <w:r>
        <w:rPr>
          <w:b w:val="0"/>
        </w:rPr>
        <w:t>Delete the rows for SOPs the site marks not applicable (Step 7), and add a row for any decision a later revision introduces. File the register with F-100-03 SOP Master Index and Review Schedule.</w:t>
      </w:r>
    </w:p>
    <w:p>
      <w:pPr>
        <w:pStyle w:val="Heading2"/>
      </w:pPr>
      <w:r>
        <w:t>Step 4. Confirm the [DEFAULT] values</w:t>
      </w:r>
    </w:p>
    <w:p>
      <w:pPr/>
      <w:r>
        <w:rPr>
          <w:b w:val="0"/>
        </w:rPr>
        <w:t xml:space="preserve">Each </w:t>
      </w:r>
      <w:r>
        <w:rPr>
          <w:b w:val="0"/>
          <w:highlight w:val="green"/>
        </w:rPr>
        <w:t>[DEFAULT: ...]</w:t>
      </w:r>
      <w:r>
        <w:rPr>
          <w:b w:val="0"/>
        </w:rPr>
        <w:t xml:space="preserve"> value is a timeline, frequency or threshold that the regulations do not set. The library chose a workable starting value. For each one, the Quality Lead asks: can the site meet this every time, and does any sponsor contract or IRB policy require something stricter? Then the Quality Lead confirms or changes the value and removes the DEFAULT marker. Record changed values in the decision register.</w:t>
      </w:r>
    </w:p>
    <w:tbl>
      <w:tblPr>
        <w:tblStyle w:val="TableGrid"/>
        <w:tblW w:type="auto" w:w="0"/>
        <w:jc w:val="left"/>
        <w:tblLayout w:type="fixed"/>
        <w:tblLook w:firstColumn="1" w:firstRow="1" w:lastColumn="0" w:lastRow="0" w:noHBand="0" w:noVBand="1" w:val="04A0"/>
      </w:tblPr>
      <w:tblGrid>
        <w:gridCol w:w="1117"/>
        <w:gridCol w:w="3877"/>
        <w:gridCol w:w="1551"/>
        <w:gridCol w:w="1551"/>
        <w:gridCol w:w="1550"/>
      </w:tblGrid>
      <w:tr>
        <w:trPr>
          <w:tblHeader w:val="true"/>
        </w:trPr>
        <w:tc>
          <w:tcPr>
            <w:tcW w:type="dxa" w:w="1117"/>
            <w:shd w:val="clear" w:color="auto" w:fill="D9E2F3"/>
          </w:tcPr>
          <w:p>
            <w:pPr>
              <w:spacing w:after="0"/>
            </w:pPr>
            <w:r>
              <w:rPr>
                <w:b/>
                <w:sz w:val="19"/>
              </w:rPr>
              <w:t>SOP and section</w:t>
            </w:r>
          </w:p>
        </w:tc>
        <w:tc>
          <w:tcPr>
            <w:tcW w:type="dxa" w:w="3877"/>
            <w:shd w:val="clear" w:color="auto" w:fill="D9E2F3"/>
          </w:tcPr>
          <w:p>
            <w:pPr>
              <w:spacing w:after="0"/>
            </w:pPr>
            <w:r>
              <w:rPr>
                <w:b/>
                <w:sz w:val="19"/>
              </w:rPr>
              <w:t>Default in template</w:t>
            </w:r>
          </w:p>
        </w:tc>
        <w:tc>
          <w:tcPr>
            <w:tcW w:type="dxa" w:w="1551"/>
            <w:shd w:val="clear" w:color="auto" w:fill="D9E2F3"/>
          </w:tcPr>
          <w:p>
            <w:pPr>
              <w:spacing w:after="0"/>
            </w:pPr>
            <w:r>
              <w:rPr>
                <w:b/>
                <w:sz w:val="19"/>
              </w:rPr>
              <w:t>Site value</w:t>
            </w:r>
          </w:p>
        </w:tc>
        <w:tc>
          <w:tcPr>
            <w:tcW w:type="dxa" w:w="1551"/>
            <w:shd w:val="clear" w:color="auto" w:fill="D9E2F3"/>
          </w:tcPr>
          <w:p>
            <w:pPr>
              <w:spacing w:after="0"/>
            </w:pPr>
            <w:r>
              <w:rPr>
                <w:b/>
                <w:sz w:val="19"/>
              </w:rPr>
              <w:t>Reason for change</w:t>
            </w:r>
          </w:p>
        </w:tc>
        <w:tc>
          <w:tcPr>
            <w:tcW w:type="dxa" w:w="1550"/>
            <w:shd w:val="clear" w:color="auto" w:fill="D9E2F3"/>
          </w:tcPr>
          <w:p>
            <w:pPr>
              <w:spacing w:after="0"/>
            </w:pPr>
            <w:r>
              <w:rPr>
                <w:b/>
                <w:sz w:val="19"/>
              </w:rPr>
              <w:t>Date</w:t>
            </w:r>
          </w:p>
        </w:tc>
      </w:tr>
      <w:tr>
        <w:trPr>
          <w:cantSplit w:val="true"/>
          <w:trHeight w:val="432"/>
        </w:trPr>
        <w:tc>
          <w:tcPr>
            <w:tcW w:type="dxa" w:w="1117"/>
          </w:tcPr>
          <w:p>
            <w:pPr>
              <w:spacing w:after="0"/>
            </w:pPr>
            <w:r>
              <w:rPr>
                <w:b w:val="0"/>
                <w:sz w:val="19"/>
              </w:rPr>
              <w:t>SOP-100, 5.7.1</w:t>
            </w:r>
          </w:p>
        </w:tc>
        <w:tc>
          <w:tcPr>
            <w:tcW w:type="dxa" w:w="3877"/>
          </w:tcPr>
          <w:p>
            <w:pPr>
              <w:spacing w:after="0"/>
            </w:pPr>
            <w:r>
              <w:rPr>
                <w:b w:val="0"/>
                <w:sz w:val="19"/>
              </w:rPr>
              <w:t xml:space="preserve">SOP review every </w:t>
            </w:r>
            <w:r>
              <w:rPr>
                <w:b w:val="0"/>
                <w:sz w:val="19"/>
                <w:highlight w:val="green"/>
              </w:rPr>
              <w:t>[DEFAULT: 2 years]</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SOP-100, 5.5.1</w:t>
            </w:r>
          </w:p>
        </w:tc>
        <w:tc>
          <w:tcPr>
            <w:tcW w:type="dxa" w:w="3877"/>
          </w:tcPr>
          <w:p>
            <w:pPr>
              <w:spacing w:after="0"/>
            </w:pPr>
            <w:r>
              <w:rPr>
                <w:b w:val="0"/>
                <w:sz w:val="19"/>
              </w:rPr>
              <w:t xml:space="preserve">Effective date at least </w:t>
            </w:r>
            <w:r>
              <w:rPr>
                <w:b w:val="0"/>
                <w:sz w:val="19"/>
                <w:highlight w:val="green"/>
              </w:rPr>
              <w:t>[DEFAULT: 14 calendar days]</w:t>
            </w:r>
            <w:r>
              <w:rPr>
                <w:b w:val="0"/>
                <w:sz w:val="19"/>
              </w:rPr>
              <w:t xml:space="preserve"> after approval</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SOP-100, 5.9.2</w:t>
            </w:r>
          </w:p>
        </w:tc>
        <w:tc>
          <w:tcPr>
            <w:tcW w:type="dxa" w:w="3877"/>
          </w:tcPr>
          <w:p>
            <w:pPr>
              <w:spacing w:after="0"/>
            </w:pPr>
            <w:r>
              <w:rPr>
                <w:b w:val="0"/>
                <w:sz w:val="19"/>
              </w:rPr>
              <w:t xml:space="preserve">Unplanned SOP deviation reported to Quality Lead within </w:t>
            </w:r>
            <w:r>
              <w:rPr>
                <w:b w:val="0"/>
                <w:sz w:val="19"/>
                <w:highlight w:val="green"/>
              </w:rPr>
              <w:t>[DEFAULT: 2 business days]</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SOP-101, 5.4.4</w:t>
            </w:r>
          </w:p>
        </w:tc>
        <w:tc>
          <w:tcPr>
            <w:tcW w:type="dxa" w:w="3877"/>
          </w:tcPr>
          <w:p>
            <w:pPr>
              <w:spacing w:after="0"/>
            </w:pPr>
            <w:r>
              <w:rPr>
                <w:b w:val="0"/>
                <w:sz w:val="19"/>
              </w:rPr>
              <w:t xml:space="preserve">Investigator review of test results where the protocol is silent: safety-relevant results within </w:t>
            </w:r>
            <w:r>
              <w:rPr>
                <w:b w:val="0"/>
                <w:sz w:val="19"/>
                <w:highlight w:val="green"/>
              </w:rPr>
              <w:t>[DEFAULT: 2 business days]</w:t>
            </w:r>
            <w:r>
              <w:rPr>
                <w:b w:val="0"/>
                <w:sz w:val="19"/>
              </w:rPr>
              <w:t xml:space="preserve"> of receipt (same day for critical values); other results within </w:t>
            </w:r>
            <w:r>
              <w:rPr>
                <w:b w:val="0"/>
                <w:sz w:val="19"/>
                <w:highlight w:val="green"/>
              </w:rPr>
              <w:t>[DEFAULT: 5 business days]</w:t>
            </w:r>
            <w:r>
              <w:rPr>
                <w:b w:val="0"/>
                <w:sz w:val="19"/>
              </w:rPr>
              <w:t xml:space="preserve"> or before the next visit, whichever is first (SOP-306 and SOP-500 point to this rule)</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SOP-101, 5.4.5</w:t>
            </w:r>
          </w:p>
        </w:tc>
        <w:tc>
          <w:tcPr>
            <w:tcW w:type="dxa" w:w="3877"/>
          </w:tcPr>
          <w:p>
            <w:pPr>
              <w:spacing w:after="0"/>
            </w:pPr>
            <w:r>
              <w:rPr>
                <w:b w:val="0"/>
                <w:sz w:val="19"/>
              </w:rPr>
              <w:t xml:space="preserve">PI oversight of each study documented at least </w:t>
            </w:r>
            <w:r>
              <w:rPr>
                <w:b w:val="0"/>
                <w:sz w:val="19"/>
                <w:highlight w:val="green"/>
              </w:rPr>
              <w:t>[DEFAULT: quarterly]</w:t>
            </w:r>
            <w:r>
              <w:rPr>
                <w:b w:val="0"/>
                <w:sz w:val="19"/>
              </w:rPr>
              <w:t xml:space="preserve"> and at each monitoring visit (SOP-302 points to this rule)</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SOP-101, 5.13.3 and 5.13.4</w:t>
            </w:r>
          </w:p>
        </w:tc>
        <w:tc>
          <w:tcPr>
            <w:tcW w:type="dxa" w:w="3877"/>
          </w:tcPr>
          <w:p>
            <w:pPr>
              <w:spacing w:after="0"/>
            </w:pPr>
            <w:r>
              <w:rPr>
                <w:b w:val="0"/>
                <w:sz w:val="19"/>
              </w:rPr>
              <w:t xml:space="preserve">Coverage note on F-306-01 naming the covering investigator for planned absences over </w:t>
            </w:r>
            <w:r>
              <w:rPr>
                <w:b w:val="0"/>
                <w:sz w:val="19"/>
                <w:highlight w:val="green"/>
              </w:rPr>
              <w:t>[DEFAULT: 5 business days]</w:t>
            </w:r>
            <w:r>
              <w:rPr>
                <w:b w:val="0"/>
                <w:sz w:val="19"/>
              </w:rPr>
              <w:t xml:space="preserve">; sponsor and IRB notice, and a decision with the sponsor on whether a PI change is needed, for absences over </w:t>
            </w:r>
            <w:r>
              <w:rPr>
                <w:b w:val="0"/>
                <w:sz w:val="19"/>
                <w:highlight w:val="green"/>
              </w:rPr>
              <w:t>[DEFAULT: 30 calendar days]</w:t>
            </w:r>
            <w:r>
              <w:rPr>
                <w:b w:val="0"/>
                <w:sz w:val="19"/>
              </w:rPr>
              <w:t xml:space="preserve"> (SOP-705 points to this rule)</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SOP-102, 5.7.4 and 5.7.5</w:t>
            </w:r>
          </w:p>
        </w:tc>
        <w:tc>
          <w:tcPr>
            <w:tcW w:type="dxa" w:w="3877"/>
          </w:tcPr>
          <w:p>
            <w:pPr>
              <w:spacing w:after="0"/>
            </w:pPr>
            <w:r>
              <w:rPr>
                <w:b w:val="0"/>
                <w:sz w:val="19"/>
              </w:rPr>
              <w:t xml:space="preserve">Site system access removed by </w:t>
            </w:r>
            <w:r>
              <w:rPr>
                <w:b w:val="0"/>
                <w:sz w:val="19"/>
                <w:highlight w:val="green"/>
              </w:rPr>
              <w:t>[DEFAULT: the end of the last working day]</w:t>
            </w:r>
            <w:r>
              <w:rPr>
                <w:b w:val="0"/>
                <w:sz w:val="19"/>
              </w:rPr>
              <w:t xml:space="preserve">; sponsor system revocation requested by the Regulatory Coordinator on </w:t>
            </w:r>
            <w:r>
              <w:rPr>
                <w:b w:val="0"/>
                <w:sz w:val="19"/>
                <w:highlight w:val="green"/>
              </w:rPr>
              <w:t>[DEFAULT: the same business day]</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SOP-103, 5.2.3</w:t>
            </w:r>
          </w:p>
        </w:tc>
        <w:tc>
          <w:tcPr>
            <w:tcW w:type="dxa" w:w="3877"/>
          </w:tcPr>
          <w:p>
            <w:pPr>
              <w:spacing w:after="0"/>
            </w:pPr>
            <w:r>
              <w:rPr>
                <w:b w:val="0"/>
                <w:sz w:val="19"/>
              </w:rPr>
              <w:t xml:space="preserve">Debarment and exclusion screening </w:t>
            </w:r>
            <w:r>
              <w:rPr>
                <w:b w:val="0"/>
                <w:sz w:val="19"/>
                <w:highlight w:val="green"/>
              </w:rPr>
              <w:t>[DEFAULT: annually]</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SOP-103, 5.3.3</w:t>
            </w:r>
          </w:p>
        </w:tc>
        <w:tc>
          <w:tcPr>
            <w:tcW w:type="dxa" w:w="3877"/>
          </w:tcPr>
          <w:p>
            <w:pPr>
              <w:spacing w:after="0"/>
            </w:pPr>
            <w:r>
              <w:rPr>
                <w:b w:val="0"/>
                <w:sz w:val="19"/>
              </w:rPr>
              <w:t xml:space="preserve">GCP refresher every </w:t>
            </w:r>
            <w:r>
              <w:rPr>
                <w:b w:val="0"/>
                <w:sz w:val="19"/>
                <w:highlight w:val="green"/>
              </w:rPr>
              <w:t>[DEFAULT: 3 years]</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SOP-105, 5.9.1</w:t>
            </w:r>
          </w:p>
        </w:tc>
        <w:tc>
          <w:tcPr>
            <w:tcW w:type="dxa" w:w="3877"/>
          </w:tcPr>
          <w:p>
            <w:pPr>
              <w:spacing w:after="0"/>
            </w:pPr>
            <w:r>
              <w:rPr>
                <w:b w:val="0"/>
                <w:sz w:val="19"/>
              </w:rPr>
              <w:t xml:space="preserve">Provider requalification every </w:t>
            </w:r>
            <w:r>
              <w:rPr>
                <w:b w:val="0"/>
                <w:sz w:val="19"/>
                <w:highlight w:val="green"/>
              </w:rPr>
              <w:t>[DEFAULT: 2 years]</w:t>
            </w:r>
            <w:r>
              <w:rPr>
                <w:b w:val="0"/>
                <w:sz w:val="19"/>
              </w:rPr>
              <w:t xml:space="preserve"> (high risk) and </w:t>
            </w:r>
            <w:r>
              <w:rPr>
                <w:b w:val="0"/>
                <w:sz w:val="19"/>
                <w:highlight w:val="green"/>
              </w:rPr>
              <w:t>[DEFAULT: 3 years]</w:t>
            </w:r>
            <w:r>
              <w:rPr>
                <w:b w:val="0"/>
                <w:sz w:val="19"/>
              </w:rPr>
              <w:t xml:space="preserve"> (medium and low)</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SOP-202, 5.11.1</w:t>
            </w:r>
          </w:p>
        </w:tc>
        <w:tc>
          <w:tcPr>
            <w:tcW w:type="dxa" w:w="3877"/>
          </w:tcPr>
          <w:p>
            <w:pPr>
              <w:spacing w:after="0"/>
            </w:pPr>
            <w:r>
              <w:rPr>
                <w:b w:val="0"/>
                <w:sz w:val="19"/>
              </w:rPr>
              <w:t xml:space="preserve">Claims records kept </w:t>
            </w:r>
            <w:r>
              <w:rPr>
                <w:b w:val="0"/>
                <w:sz w:val="19"/>
                <w:highlight w:val="green"/>
              </w:rPr>
              <w:t>[DEFAULT: 10 years]</w:t>
            </w:r>
            <w:r>
              <w:rPr>
                <w:b w:val="0"/>
                <w:sz w:val="19"/>
              </w:rPr>
              <w:t xml:space="preserve"> (site choice, see section 8)</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SOP-203, 5.6.1</w:t>
            </w:r>
          </w:p>
        </w:tc>
        <w:tc>
          <w:tcPr>
            <w:tcW w:type="dxa" w:w="3877"/>
          </w:tcPr>
          <w:p>
            <w:pPr>
              <w:spacing w:after="0"/>
            </w:pPr>
            <w:r>
              <w:rPr>
                <w:b w:val="0"/>
                <w:sz w:val="19"/>
              </w:rPr>
              <w:t xml:space="preserve">Continuing review reminders at </w:t>
            </w:r>
            <w:r>
              <w:rPr>
                <w:b w:val="0"/>
                <w:sz w:val="19"/>
                <w:highlight w:val="green"/>
              </w:rPr>
              <w:t>[DEFAULT: 60 and 30 days]</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SOP-204, 5.4.1</w:t>
            </w:r>
          </w:p>
        </w:tc>
        <w:tc>
          <w:tcPr>
            <w:tcW w:type="dxa" w:w="3877"/>
          </w:tcPr>
          <w:p>
            <w:pPr>
              <w:spacing w:after="0"/>
            </w:pPr>
            <w:r>
              <w:rPr>
                <w:b w:val="0"/>
                <w:sz w:val="19"/>
              </w:rPr>
              <w:t xml:space="preserve">Filing within </w:t>
            </w:r>
            <w:r>
              <w:rPr>
                <w:b w:val="0"/>
                <w:sz w:val="19"/>
                <w:highlight w:val="green"/>
              </w:rPr>
              <w:t>[DEFAULT: 10 business days of receipt or creation]</w:t>
            </w:r>
            <w:r>
              <w:rPr>
                <w:b w:val="0"/>
                <w:sz w:val="19"/>
              </w:rPr>
              <w:t xml:space="preserve">; safety reports and IRB approvals within </w:t>
            </w:r>
            <w:r>
              <w:rPr>
                <w:b w:val="0"/>
                <w:sz w:val="19"/>
                <w:highlight w:val="green"/>
              </w:rPr>
              <w:t>[DEFAULT: 5 business days]</w:t>
            </w:r>
          </w:p>
        </w:tc>
        <w:tc>
          <w:tcPr>
            <w:tcW w:type="dxa" w:w="1551"/>
          </w:tcPr>
          <w:p>
            <w:pPr>
              <w:spacing w:after="0"/>
            </w:pPr>
          </w:p>
        </w:tc>
        <w:tc>
          <w:tcPr>
            <w:tcW w:type="dxa" w:w="1551"/>
          </w:tcPr>
          <w:p>
            <w:pPr>
              <w:spacing w:after="0"/>
            </w:pPr>
          </w:p>
        </w:tc>
        <w:tc>
          <w:tcPr>
            <w:tcW w:type="dxa" w:w="1550"/>
          </w:tcPr>
          <w:p>
            <w:pPr>
              <w:spacing w:after="0"/>
            </w:pPr>
          </w:p>
        </w:tc>
      </w:tr>
      <w:tr>
        <w:trPr>
          <w:cantSplit w:val="true"/>
          <w:trHeight w:val="432"/>
        </w:trPr>
        <w:tc>
          <w:tcPr>
            <w:tcW w:type="dxa" w:w="1117"/>
          </w:tcPr>
          <w:p>
            <w:pPr>
              <w:spacing w:after="0"/>
            </w:pPr>
            <w:r>
              <w:rPr>
                <w:b w:val="0"/>
                <w:sz w:val="19"/>
              </w:rPr>
              <w:t>SOP-501, 5.10.1</w:t>
            </w:r>
          </w:p>
        </w:tc>
        <w:tc>
          <w:tcPr>
            <w:tcW w:type="dxa" w:w="3877"/>
          </w:tcPr>
          <w:p>
            <w:pPr>
              <w:spacing w:after="0"/>
            </w:pPr>
            <w:r>
              <w:rPr>
                <w:b w:val="0"/>
                <w:sz w:val="19"/>
              </w:rPr>
              <w:t xml:space="preserve">PI review of sponsor safety reports within </w:t>
            </w:r>
            <w:r>
              <w:rPr>
                <w:b w:val="0"/>
                <w:sz w:val="19"/>
                <w:highlight w:val="green"/>
              </w:rPr>
              <w:t>[DEFAULT: 5 business days of receipt; same day for urgent safety notices]</w:t>
            </w:r>
          </w:p>
        </w:tc>
        <w:tc>
          <w:tcPr>
            <w:tcW w:type="dxa" w:w="1551"/>
          </w:tcPr>
          <w:p>
            <w:pPr>
              <w:spacing w:after="0"/>
            </w:pPr>
          </w:p>
        </w:tc>
        <w:tc>
          <w:tcPr>
            <w:tcW w:type="dxa" w:w="1551"/>
          </w:tcPr>
          <w:p>
            <w:pPr>
              <w:spacing w:after="0"/>
            </w:pPr>
          </w:p>
        </w:tc>
        <w:tc>
          <w:tcPr>
            <w:tcW w:type="dxa" w:w="1550"/>
          </w:tcPr>
          <w:p>
            <w:pPr>
              <w:spacing w:after="0"/>
            </w:pPr>
          </w:p>
        </w:tc>
      </w:tr>
    </w:tbl>
    <w:p>
      <w:pPr>
        <w:spacing w:after="40"/>
      </w:pPr>
    </w:p>
    <w:p>
      <w:pPr/>
      <w:r>
        <w:rPr>
          <w:b w:val="0"/>
        </w:rPr>
        <w:t xml:space="preserve">The table lists the defaults that most affect daily workload. At this version the SOPs contain 246 </w:t>
      </w:r>
      <w:r>
        <w:rPr>
          <w:b w:val="0"/>
          <w:highlight w:val="green"/>
        </w:rPr>
        <w:t>[DEFAULT: ...]</w:t>
      </w:r>
      <w:r>
        <w:rPr>
          <w:b w:val="0"/>
        </w:rPr>
        <w:t xml:space="preserve"> tags (119 distinct values) and the forms contain 104 more, 350 in all. Search every SOP and every form for "[DEFAULT:" and record any value the site changes in this table or the decision register. Where a form repeats a value from its SOP, set the form to the same value as the SOP.</w:t>
      </w:r>
    </w:p>
    <w:p>
      <w:pPr/>
      <w:r>
        <w:rPr>
          <w:b w:val="0"/>
        </w:rPr>
        <w:t>A default the site cannot meet is worse than a longer timeline it can. Inspectors and auditors check the site against its own SOPs.</w:t>
      </w:r>
    </w:p>
    <w:p>
      <w:pPr>
        <w:pStyle w:val="Heading2"/>
      </w:pPr>
      <w:r>
        <w:t>Step 5. Complete Appendix A for each state</w:t>
      </w:r>
    </w:p>
    <w:p>
      <w:pPr/>
      <w:r>
        <w:rPr>
          <w:b w:val="0"/>
        </w:rPr>
        <w:t>The Quality Lead completes Appendix A State Law Worksheet with counsel for every state where the site has a location, and for every state where participants are seen by telehealth or home visits. Confirm the research answers (who may serve as a legally authorized representative, minors, state research laws) with the IRB of record. The California, Maryland and New York entries in Appendix A are illustrations only. Verify before relying on them.</w:t>
      </w:r>
    </w:p>
    <w:p>
      <w:pPr>
        <w:pStyle w:val="Heading2"/>
      </w:pPr>
      <w:r>
        <w:t>Step 6. Check alignment with the IRB and key sponsors</w:t>
      </w:r>
    </w:p>
    <w:p>
      <w:pPr/>
      <w:r>
        <w:rPr>
          <w:b w:val="0"/>
        </w:rPr>
        <w:t>The library defers to the protocol, sponsor and IRB where they are stricter. Before approval, the Quality Lead and Regulatory Coordinator check the SOPs against:</w:t>
      </w:r>
    </w:p>
    <w:p>
      <w:pPr>
        <w:pStyle w:val="ListBullet"/>
        <w:spacing w:after="40"/>
        <w:ind w:left="360" w:hanging="259"/>
      </w:pPr>
      <w:r>
        <w:rPr>
          <w:b w:val="0"/>
        </w:rPr>
        <w:t>the central IRB's investigator manual, especially reportable-event categories and windows (SOP-502), consent documentation (SOP-301) and personnel change notices</w:t>
      </w:r>
    </w:p>
    <w:p>
      <w:pPr>
        <w:pStyle w:val="ListBullet"/>
        <w:spacing w:after="40"/>
        <w:ind w:left="360" w:hanging="259"/>
      </w:pPr>
      <w:r>
        <w:rPr>
          <w:b w:val="0"/>
        </w:rPr>
        <w:t>any SOP or quality requirements in the site's master agreements with its main sponsors and CROs</w:t>
      </w:r>
    </w:p>
    <w:p>
      <w:pPr>
        <w:pStyle w:val="ListBullet"/>
        <w:spacing w:after="40"/>
        <w:ind w:left="360" w:hanging="259"/>
      </w:pPr>
      <w:r>
        <w:rPr>
          <w:b w:val="0"/>
        </w:rPr>
        <w:t>each sponsor's requirements for logs: where a sponsor requires its own delegation, accountability or deviation log, the SOPs allow it, but the site should know in advance which studies use which logs</w:t>
      </w:r>
    </w:p>
    <w:p>
      <w:pPr/>
      <w:r>
        <w:rPr>
          <w:b w:val="0"/>
        </w:rPr>
        <w:t>Record each conflict and how it was resolved. Where the conflict will apply to most studies, change the SOP. Where it applies to one study, a note to file (F-306-01) is enough.</w:t>
      </w:r>
    </w:p>
    <w:p>
      <w:pPr>
        <w:pStyle w:val="Heading2"/>
      </w:pPr>
      <w:r>
        <w:t>Step 7. Remove what does not apply</w:t>
      </w:r>
    </w:p>
    <w:p>
      <w:pPr/>
      <w:r>
        <w:rPr>
          <w:b w:val="0"/>
        </w:rPr>
        <w:t>Mark as not applicable any SOP or section for work the site does not do (for example SOP-800 Sponsor-Investigator Responsibilities if the site never holds an IND or IDE, or the controlled-substance sections of SOP-304 if it never stores controlled IP). Record each decision and the reason on F-100-03. Remove only what the site truly never does. If a sponsor later offers a study that needs a retired section, reinstate it through SOP-100 before the study starts.</w:t>
      </w:r>
    </w:p>
    <w:p>
      <w:pPr>
        <w:pStyle w:val="Heading2"/>
      </w:pPr>
      <w:r>
        <w:t>Step 8. Approve the library on F-100-01</w:t>
      </w:r>
    </w:p>
    <w:p>
      <w:pPr/>
      <w:r>
        <w:rPr>
          <w:b w:val="0"/>
        </w:rPr>
        <w:t>Each SOP is approved on F-100-01 SOP Review and Approval Record, signed by the author (the Quality Lead for the adoption), the Quality Lead, the Site Director and the clinical approver decided in Step 3. Because no one may be the only approver of an SOP they wrote, where the Quality Lead who wrote the SOP is also the Site Director, the PI or a qualified external reviewer also approves (SOP-100, 5.4.4). All SOPs may share one approval date and one effective date. Version numbering starts at 1.0. The Quality Lead records each SOP on F-100-03, maps any old site SOP to its replacement, and retires the old SOPs on the effective date (SOP-100).</w:t>
      </w:r>
    </w:p>
    <w:p>
      <w:pPr>
        <w:pStyle w:val="Heading2"/>
      </w:pPr>
      <w:r>
        <w:t>Step 9. Train staff on F-100-02 before the effective date</w:t>
      </w:r>
    </w:p>
    <w:p>
      <w:pPr/>
      <w:r>
        <w:rPr>
          <w:b w:val="0"/>
        </w:rPr>
        <w:t xml:space="preserve">The Quality Lead assigns SOPs to each role (SOP-103 Staff Qualification, Training and Training Records). Each person reads the assigned SOPs and signs F-100-02 SOP Training Acknowledgment before the effective date. For SOPs that need a demonstration (consent, IP handling, specimen shipping), training includes the demonstration. Set the effective date at least </w:t>
      </w:r>
      <w:r>
        <w:rPr>
          <w:b w:val="0"/>
          <w:highlight w:val="green"/>
        </w:rPr>
        <w:t>[DEFAULT: 14 calendar days]</w:t>
      </w:r>
      <w:r>
        <w:rPr>
          <w:b w:val="0"/>
        </w:rPr>
        <w:t xml:space="preserve"> after approval, and move it if training is not finished. Nobody works under an SOP they have not been trained on.</w:t>
      </w:r>
    </w:p>
    <w:p>
      <w:pPr>
        <w:pStyle w:val="Heading2"/>
      </w:pPr>
      <w:r>
        <w:t>Step 10. Set the review schedule on F-100-03</w:t>
      </w:r>
    </w:p>
    <w:p>
      <w:pPr/>
      <w:r>
        <w:rPr>
          <w:b w:val="0"/>
        </w:rPr>
        <w:t xml:space="preserve">The Quality Lead enters the next review date for every SOP on F-100-03 (every </w:t>
      </w:r>
      <w:r>
        <w:rPr>
          <w:b w:val="0"/>
          <w:highlight w:val="green"/>
        </w:rPr>
        <w:t>[DEFAULT: 2 years]</w:t>
      </w:r>
      <w:r>
        <w:rPr>
          <w:b w:val="0"/>
        </w:rPr>
        <w:t xml:space="preserve"> from the effective date), sets Appendix A for annual review, and sets the Regulatory Currency Note check for annual review. Tell sponsors and the IRB that the site has a new SOP set when they ask or when a contract requires notice.</w:t>
      </w:r>
    </w:p>
    <w:p>
      <w:pPr>
        <w:pStyle w:val="Heading1"/>
      </w:pPr>
      <w:r>
        <w:t>5. Model N adoption path</w:t>
      </w:r>
    </w:p>
    <w:p>
      <w:pPr/>
      <w:r>
        <w:rPr>
          <w:b w:val="0"/>
        </w:rPr>
        <w:t>A network adopts the library once at network level, then each member site adopts it for itself. Follow the steps in section 4 at each member site, with these changes and additions.</w:t>
      </w:r>
    </w:p>
    <w:p>
      <w:pPr>
        <w:pStyle w:val="Heading2"/>
      </w:pPr>
      <w:r>
        <w:t>Step N1. Set up the Network Office and choose the variant</w:t>
      </w:r>
    </w:p>
    <w:p>
      <w:pPr/>
      <w:r>
        <w:rPr>
          <w:b w:val="0"/>
        </w:rPr>
        <w:t>The Network Executive names the Network Quality Lead and the other Network Office roles the network will use, charters the Network Quality Committee, and records the variant, its legal basis, the member entities and locations, and the HIPAA arrangement across sites on F-900-02 (SOP-900 Network Governance, SOP Hierarchy and Local Addenda). N-Affiliated: confirm with counsel that the network agreement states which SOPs and Appendix B assignments bind each member entity, the Network Office's audit and data rights, and what happens when a network SOP conflicts with a member's legal duties (SOP-900 5.9).</w:t>
      </w:r>
    </w:p>
    <w:p>
      <w:pPr>
        <w:pStyle w:val="Heading2"/>
      </w:pPr>
      <w:r>
        <w:t>Step N2. Adopt the library at network level</w:t>
      </w:r>
    </w:p>
    <w:p>
      <w:pPr/>
      <w:r>
        <w:rPr>
          <w:b w:val="0"/>
        </w:rPr>
        <w:t xml:space="preserve">The Network Office adopts the library as the network SOP set. The Network Quality Lead replaces network placeholders (for example </w:t>
      </w:r>
      <w:r>
        <w:rPr>
          <w:b w:val="0"/>
          <w:highlight w:val="yellow"/>
        </w:rPr>
        <w:t>[NETWORK NAME]</w:t>
      </w:r>
      <w:r>
        <w:rPr>
          <w:b w:val="0"/>
        </w:rPr>
        <w:t xml:space="preserve">, </w:t>
      </w:r>
      <w:r>
        <w:rPr>
          <w:b w:val="0"/>
          <w:highlight w:val="yellow"/>
        </w:rPr>
        <w:t>[NETWORK GOVERNING BODY CONTACT]</w:t>
      </w:r>
      <w:r>
        <w:rPr>
          <w:b w:val="0"/>
        </w:rPr>
        <w:t>), marks the network minimums, decides which Site decision boxes are resolved once for the network and which per site, and records each on F-900-02. Network SOPs are approved on F-100-01 by the Author, the Network Quality Lead, the Network Executive and, where an SOP assigns investigator duties, the Network Medical Director or a PI the Network Office names (SOP-100 5.11.3).</w:t>
      </w:r>
    </w:p>
    <w:p>
      <w:pPr>
        <w:pStyle w:val="Heading2"/>
      </w:pPr>
      <w:r>
        <w:t>Step N3. Complete Appendix B</w:t>
      </w:r>
    </w:p>
    <w:p>
      <w:pPr/>
      <w:r>
        <w:rPr>
          <w:b w:val="0"/>
        </w:rPr>
        <w:t>The Network Quality Lead completes Appendix B Central and Site Responsibility Matrix with the other Network Office leads and at least one member site PI. Start from the default for the variant, record each change and its reason on F-900-02, and never move a row marked Yes in the Must stay at site? column away from the site. N-Affiliated: assign a row to the Network Office only where the network agreement gives that authority. The Network Quality Committee approves F-900-02 and each member Site Director signs it.</w:t>
      </w:r>
    </w:p>
    <w:p>
      <w:pPr>
        <w:pStyle w:val="Heading2"/>
      </w:pPr>
      <w:r>
        <w:t>Step N4. Each member site completes Appendix A and its local addenda</w:t>
      </w:r>
    </w:p>
    <w:p>
      <w:pPr/>
      <w:r>
        <w:rPr>
          <w:b w:val="0"/>
        </w:rPr>
        <w:t>Each member site completes Appendix A for every state where it has a location or sees participants remotely. The Network Quality Lead may prepare one worksheet per state for all sites in that state; each site confirms it (Appendix B, SOP-100 rows). Each site then writes the local addenda it needs on F-900-01 for state law, local IRB or hospital requirements, local systems and contacts, and any Site decision assigned to the site. The Network Quality Lead checks each addendum against the limits in SOP-900 5.5.2 before the site approves it.</w:t>
      </w:r>
    </w:p>
    <w:p>
      <w:pPr>
        <w:pStyle w:val="Heading2"/>
      </w:pPr>
      <w:r>
        <w:t>Step N5. Adopt and train at each member site</w:t>
      </w:r>
    </w:p>
    <w:p>
      <w:pPr/>
      <w:r>
        <w:rPr>
          <w:b w:val="0"/>
        </w:rPr>
        <w:t>Each member site records adoption of the network SOP set on F-100-01 (Site Director and Site Quality Lead) and trains its staff on the network SOPs, its local addenda and its role in Appendix B before the effective date. Shared staff and Network Office staff who work on a site's studies are trained on that site's local addenda and recorded on F-904-01 (SOP-904 Shared Staff, Cross-Site Coverage and Central Services). Each Site Director confirms in writing to the Network Quality Lead that training is complete.</w:t>
      </w:r>
    </w:p>
    <w:p>
      <w:pPr>
        <w:pStyle w:val="Heading2"/>
      </w:pPr>
      <w:r>
        <w:t>Step N6. Set effective dates</w:t>
      </w:r>
    </w:p>
    <w:p>
      <w:pPr/>
      <w:r>
        <w:rPr>
          <w:b w:val="0"/>
        </w:rPr>
        <w:t xml:space="preserve">The Network Quality Lead sets one network effective date, at least </w:t>
      </w:r>
      <w:r>
        <w:rPr>
          <w:b w:val="0"/>
          <w:highlight w:val="green"/>
        </w:rPr>
        <w:t>[DEFAULT: 30 calendar days]</w:t>
      </w:r>
      <w:r>
        <w:rPr>
          <w:b w:val="0"/>
        </w:rPr>
        <w:t xml:space="preserve"> after approval for a major revision (SOP-900 5.7). A site that cannot finish training in time gets a later site effective date recorded on F-100-03, of up to </w:t>
      </w:r>
      <w:r>
        <w:rPr>
          <w:b w:val="0"/>
          <w:highlight w:val="green"/>
        </w:rPr>
        <w:t>[DEFAULT: 30 calendar days]</w:t>
      </w:r>
      <w:r>
        <w:rPr>
          <w:b w:val="0"/>
        </w:rPr>
        <w:t>. Until then that site keeps working under its current SOPs. Sites that join later follow SOP-901 Member Site Onboarding, Integration and Exit, with their own effective date set in F-901-02.</w:t>
      </w:r>
    </w:p>
    <w:p>
      <w:pPr>
        <w:pStyle w:val="Heading2"/>
      </w:pPr>
      <w:r>
        <w:t>Step N7. Start network oversight</w:t>
      </w:r>
    </w:p>
    <w:p>
      <w:pPr/>
      <w:r>
        <w:rPr>
          <w:b w:val="0"/>
        </w:rPr>
        <w:t>Set up the network data flow register (F-905-01), the shared systems section of F-401-01, the metric set and scorecard (F-903-01), and the first network audit plan approved by the Network Quality Committee (SOP-903 Network Oversight of Member Sites (Metrics, Central QA, Escalation)).</w:t>
      </w:r>
    </w:p>
    <w:p>
      <w:pPr>
        <w:pStyle w:val="Heading1"/>
      </w:pPr>
      <w:r>
        <w:t>6. Example rollout schedule</w:t>
      </w:r>
    </w:p>
    <w:p>
      <w:pPr/>
      <w:r>
        <w:rPr>
          <w:b w:val="0"/>
        </w:rPr>
        <w:t>The day ranges below are an example for planning, not a measured duration. Adjust them to the effort estimate in section 3 and the site's staffing.</w:t>
      </w:r>
    </w:p>
    <w:tbl>
      <w:tblPr>
        <w:tblStyle w:val="TableGrid"/>
        <w:tblW w:type="auto" w:w="0"/>
        <w:jc w:val="left"/>
        <w:tblLayout w:type="fixed"/>
        <w:tblLook w:firstColumn="1" w:firstRow="1" w:lastColumn="0" w:lastRow="0" w:noHBand="0" w:noVBand="1" w:val="04A0"/>
      </w:tblPr>
      <w:tblGrid>
        <w:gridCol w:w="1221"/>
        <w:gridCol w:w="3951"/>
        <w:gridCol w:w="2066"/>
        <w:gridCol w:w="2409"/>
      </w:tblGrid>
      <w:tr>
        <w:trPr>
          <w:tblHeader w:val="true"/>
        </w:trPr>
        <w:tc>
          <w:tcPr>
            <w:tcW w:type="dxa" w:w="1221"/>
            <w:shd w:val="clear" w:color="auto" w:fill="D9E2F3"/>
          </w:tcPr>
          <w:p>
            <w:pPr>
              <w:keepNext/>
              <w:spacing w:after="0"/>
            </w:pPr>
            <w:r>
              <w:rPr>
                <w:b/>
                <w:sz w:val="19"/>
              </w:rPr>
              <w:t>Period</w:t>
            </w:r>
          </w:p>
        </w:tc>
        <w:tc>
          <w:tcPr>
            <w:tcW w:type="dxa" w:w="3951"/>
            <w:shd w:val="clear" w:color="auto" w:fill="D9E2F3"/>
          </w:tcPr>
          <w:p>
            <w:pPr>
              <w:keepNext/>
              <w:spacing w:after="0"/>
            </w:pPr>
            <w:r>
              <w:rPr>
                <w:b/>
                <w:sz w:val="19"/>
              </w:rPr>
              <w:t>Work</w:t>
            </w:r>
          </w:p>
        </w:tc>
        <w:tc>
          <w:tcPr>
            <w:tcW w:type="dxa" w:w="2066"/>
            <w:shd w:val="clear" w:color="auto" w:fill="D9E2F3"/>
          </w:tcPr>
          <w:p>
            <w:pPr>
              <w:keepNext/>
              <w:spacing w:after="0"/>
            </w:pPr>
            <w:r>
              <w:rPr>
                <w:b/>
                <w:sz w:val="19"/>
              </w:rPr>
              <w:t>Lead</w:t>
            </w:r>
          </w:p>
        </w:tc>
        <w:tc>
          <w:tcPr>
            <w:tcW w:type="dxa" w:w="2409"/>
            <w:shd w:val="clear" w:color="auto" w:fill="D9E2F3"/>
          </w:tcPr>
          <w:p>
            <w:pPr>
              <w:keepNext/>
              <w:spacing w:after="0"/>
            </w:pPr>
            <w:r>
              <w:rPr>
                <w:b/>
                <w:sz w:val="19"/>
              </w:rPr>
              <w:t>Output</w:t>
            </w:r>
          </w:p>
        </w:tc>
      </w:tr>
      <w:tr>
        <w:trPr>
          <w:cantSplit w:val="true"/>
        </w:trPr>
        <w:tc>
          <w:tcPr>
            <w:tcW w:type="dxa" w:w="1221"/>
          </w:tcPr>
          <w:p>
            <w:pPr>
              <w:keepNext/>
              <w:spacing w:after="0"/>
            </w:pPr>
            <w:r>
              <w:rPr>
                <w:b w:val="0"/>
                <w:sz w:val="19"/>
              </w:rPr>
              <w:t>Days 1 to 30</w:t>
            </w:r>
          </w:p>
        </w:tc>
        <w:tc>
          <w:tcPr>
            <w:tcW w:type="dxa" w:w="3951"/>
          </w:tcPr>
          <w:p>
            <w:pPr>
              <w:keepNext/>
              <w:spacing w:after="0"/>
            </w:pPr>
            <w:r>
              <w:rPr>
                <w:b w:val="0"/>
                <w:sz w:val="19"/>
              </w:rPr>
              <w:t>Name Quality Lead; approve adoption plan; collect IRB manual, sponsor agreements and existing SOPs; replace placeholders; start decision register; send Appendix A to counsel</w:t>
            </w:r>
          </w:p>
        </w:tc>
        <w:tc>
          <w:tcPr>
            <w:tcW w:type="dxa" w:w="2066"/>
          </w:tcPr>
          <w:p>
            <w:pPr>
              <w:keepNext/>
              <w:spacing w:after="0"/>
            </w:pPr>
            <w:r>
              <w:rPr>
                <w:b w:val="0"/>
                <w:sz w:val="19"/>
              </w:rPr>
              <w:t>Site Director, Quality Lead</w:t>
            </w:r>
          </w:p>
        </w:tc>
        <w:tc>
          <w:tcPr>
            <w:tcW w:type="dxa" w:w="2409"/>
          </w:tcPr>
          <w:p>
            <w:pPr>
              <w:keepNext/>
              <w:spacing w:after="0"/>
            </w:pPr>
            <w:r>
              <w:rPr>
                <w:b w:val="0"/>
                <w:sz w:val="19"/>
              </w:rPr>
              <w:t>Adoption plan; placeholders resolved; counsel engaged</w:t>
            </w:r>
          </w:p>
        </w:tc>
      </w:tr>
      <w:tr>
        <w:trPr>
          <w:cantSplit w:val="true"/>
        </w:trPr>
        <w:tc>
          <w:tcPr>
            <w:tcW w:type="dxa" w:w="1221"/>
          </w:tcPr>
          <w:p>
            <w:pPr>
              <w:keepNext/>
              <w:spacing w:after="0"/>
            </w:pPr>
            <w:r>
              <w:rPr>
                <w:b w:val="0"/>
                <w:sz w:val="19"/>
              </w:rPr>
              <w:t>Days 31 to 60</w:t>
            </w:r>
          </w:p>
        </w:tc>
        <w:tc>
          <w:tcPr>
            <w:tcW w:type="dxa" w:w="3951"/>
          </w:tcPr>
          <w:p>
            <w:pPr>
              <w:keepNext/>
              <w:spacing w:after="0"/>
            </w:pPr>
            <w:r>
              <w:rPr>
                <w:b w:val="0"/>
                <w:sz w:val="19"/>
              </w:rPr>
              <w:t>Decide every Site decision; confirm every default; complete Appendix A; check against IRB and sponsor requirements; mark not-applicable SOPs; load forms with site details; dry-run the high-use forms (F-301-01, F-302-01, F-304-01, F-500-01) on one active study</w:t>
            </w:r>
          </w:p>
        </w:tc>
        <w:tc>
          <w:tcPr>
            <w:tcW w:type="dxa" w:w="2066"/>
          </w:tcPr>
          <w:p>
            <w:pPr>
              <w:keepNext/>
              <w:spacing w:after="0"/>
            </w:pPr>
            <w:r>
              <w:rPr>
                <w:b w:val="0"/>
                <w:sz w:val="19"/>
              </w:rPr>
              <w:t>Quality Lead with PI, Regulatory Coordinator, Finance / Contracts Lead</w:t>
            </w:r>
          </w:p>
        </w:tc>
        <w:tc>
          <w:tcPr>
            <w:tcW w:type="dxa" w:w="2409"/>
          </w:tcPr>
          <w:p>
            <w:pPr>
              <w:keepNext/>
              <w:spacing w:after="0"/>
            </w:pPr>
            <w:r>
              <w:rPr>
                <w:b w:val="0"/>
                <w:sz w:val="19"/>
              </w:rPr>
              <w:t>Decision register complete; Appendix A signed; forms tested</w:t>
            </w:r>
          </w:p>
        </w:tc>
      </w:tr>
      <w:tr>
        <w:trPr>
          <w:cantSplit w:val="true"/>
        </w:trPr>
        <w:tc>
          <w:tcPr>
            <w:tcW w:type="dxa" w:w="1221"/>
          </w:tcPr>
          <w:p>
            <w:pPr>
              <w:keepNext/>
              <w:spacing w:after="0"/>
            </w:pPr>
            <w:r>
              <w:rPr>
                <w:b w:val="0"/>
                <w:sz w:val="19"/>
              </w:rPr>
              <w:t>Days 61 to 75</w:t>
            </w:r>
          </w:p>
        </w:tc>
        <w:tc>
          <w:tcPr>
            <w:tcW w:type="dxa" w:w="3951"/>
          </w:tcPr>
          <w:p>
            <w:pPr>
              <w:keepNext/>
              <w:spacing w:after="0"/>
            </w:pPr>
            <w:r>
              <w:rPr>
                <w:b w:val="0"/>
                <w:sz w:val="19"/>
              </w:rPr>
              <w:t>Final review; approve every SOP on F-100-01; set the effective date; complete F-100-03</w:t>
            </w:r>
          </w:p>
        </w:tc>
        <w:tc>
          <w:tcPr>
            <w:tcW w:type="dxa" w:w="2066"/>
          </w:tcPr>
          <w:p>
            <w:pPr>
              <w:keepNext/>
              <w:spacing w:after="0"/>
            </w:pPr>
            <w:r>
              <w:rPr>
                <w:b w:val="0"/>
                <w:sz w:val="19"/>
              </w:rPr>
              <w:t>Quality Lead, Site Director, clinical approver</w:t>
            </w:r>
          </w:p>
        </w:tc>
        <w:tc>
          <w:tcPr>
            <w:tcW w:type="dxa" w:w="2409"/>
          </w:tcPr>
          <w:p>
            <w:pPr>
              <w:keepNext/>
              <w:spacing w:after="0"/>
            </w:pPr>
            <w:r>
              <w:rPr>
                <w:b w:val="0"/>
                <w:sz w:val="19"/>
              </w:rPr>
              <w:t>Approved library</w:t>
            </w:r>
          </w:p>
        </w:tc>
      </w:tr>
      <w:tr>
        <w:trPr>
          <w:cantSplit w:val="true"/>
        </w:trPr>
        <w:tc>
          <w:tcPr>
            <w:tcW w:type="dxa" w:w="1221"/>
          </w:tcPr>
          <w:p>
            <w:pPr>
              <w:keepNext/>
              <w:spacing w:after="0"/>
            </w:pPr>
            <w:r>
              <w:rPr>
                <w:b w:val="0"/>
                <w:sz w:val="19"/>
              </w:rPr>
              <w:t>Days 76 to 90</w:t>
            </w:r>
          </w:p>
        </w:tc>
        <w:tc>
          <w:tcPr>
            <w:tcW w:type="dxa" w:w="3951"/>
          </w:tcPr>
          <w:p>
            <w:pPr>
              <w:keepNext/>
              <w:spacing w:after="0"/>
            </w:pPr>
            <w:r>
              <w:rPr>
                <w:b w:val="0"/>
                <w:sz w:val="19"/>
              </w:rPr>
              <w:t>Train all staff and record on F-100-02; retire old SOPs on the effective date; tell sponsors and the IRB on request</w:t>
            </w:r>
          </w:p>
        </w:tc>
        <w:tc>
          <w:tcPr>
            <w:tcW w:type="dxa" w:w="2066"/>
          </w:tcPr>
          <w:p>
            <w:pPr>
              <w:keepNext/>
              <w:spacing w:after="0"/>
            </w:pPr>
            <w:r>
              <w:rPr>
                <w:b w:val="0"/>
                <w:sz w:val="19"/>
              </w:rPr>
              <w:t>Quality Lead</w:t>
            </w:r>
          </w:p>
        </w:tc>
        <w:tc>
          <w:tcPr>
            <w:tcW w:type="dxa" w:w="2409"/>
          </w:tcPr>
          <w:p>
            <w:pPr>
              <w:keepNext/>
              <w:spacing w:after="0"/>
            </w:pPr>
            <w:r>
              <w:rPr>
                <w:b w:val="0"/>
                <w:sz w:val="19"/>
              </w:rPr>
              <w:t>Library effective; training complete</w:t>
            </w:r>
          </w:p>
        </w:tc>
      </w:tr>
      <w:tr>
        <w:trPr>
          <w:cantSplit w:val="true"/>
        </w:trPr>
        <w:tc>
          <w:tcPr>
            <w:tcW w:type="dxa" w:w="1221"/>
          </w:tcPr>
          <w:p>
            <w:pPr>
              <w:spacing w:after="0"/>
            </w:pPr>
            <w:r>
              <w:rPr>
                <w:b w:val="0"/>
                <w:sz w:val="19"/>
              </w:rPr>
              <w:t>First 90 days after effective date</w:t>
            </w:r>
          </w:p>
        </w:tc>
        <w:tc>
          <w:tcPr>
            <w:tcW w:type="dxa" w:w="3951"/>
          </w:tcPr>
          <w:p>
            <w:pPr>
              <w:spacing w:after="0"/>
            </w:pPr>
            <w:r>
              <w:rPr>
                <w:b w:val="0"/>
                <w:sz w:val="19"/>
              </w:rPr>
              <w:t>Quality Lead QCs the first uses of the new forms on each active study (SOP-700) and records problems; fix wording or defaults that do not work through a minor or major revision</w:t>
            </w:r>
          </w:p>
        </w:tc>
        <w:tc>
          <w:tcPr>
            <w:tcW w:type="dxa" w:w="2066"/>
          </w:tcPr>
          <w:p>
            <w:pPr>
              <w:spacing w:after="0"/>
            </w:pPr>
            <w:r>
              <w:rPr>
                <w:b w:val="0"/>
                <w:sz w:val="19"/>
              </w:rPr>
              <w:t>Quality Lead</w:t>
            </w:r>
          </w:p>
        </w:tc>
        <w:tc>
          <w:tcPr>
            <w:tcW w:type="dxa" w:w="2409"/>
          </w:tcPr>
          <w:p>
            <w:pPr>
              <w:spacing w:after="0"/>
            </w:pPr>
            <w:r>
              <w:rPr>
                <w:b w:val="0"/>
                <w:sz w:val="19"/>
              </w:rPr>
              <w:t>First QC report; revision list</w:t>
            </w:r>
          </w:p>
        </w:tc>
      </w:tr>
    </w:tbl>
    <w:p>
      <w:pPr>
        <w:spacing w:after="40"/>
      </w:pPr>
    </w:p>
    <w:p>
      <w:pPr/>
      <w:r>
        <w:rPr>
          <w:b w:val="0"/>
        </w:rPr>
        <w:t>For a network, use this variant. It assumes the member sites are already operating and adopt together.</w:t>
      </w:r>
    </w:p>
    <w:tbl>
      <w:tblPr>
        <w:tblStyle w:val="TableGrid"/>
        <w:tblW w:type="auto" w:w="0"/>
        <w:jc w:val="left"/>
        <w:tblLayout w:type="fixed"/>
        <w:tblLook w:firstColumn="1" w:firstRow="1" w:lastColumn="0" w:lastRow="0" w:noHBand="0" w:noVBand="1" w:val="04A0"/>
      </w:tblPr>
      <w:tblGrid>
        <w:gridCol w:w="1221"/>
        <w:gridCol w:w="3171"/>
        <w:gridCol w:w="2666"/>
        <w:gridCol w:w="2589"/>
      </w:tblGrid>
      <w:tr>
        <w:trPr>
          <w:tblHeader w:val="true"/>
        </w:trPr>
        <w:tc>
          <w:tcPr>
            <w:tcW w:type="dxa" w:w="1221"/>
            <w:shd w:val="clear" w:color="auto" w:fill="D9E2F3"/>
          </w:tcPr>
          <w:p>
            <w:pPr>
              <w:keepNext/>
              <w:spacing w:after="0"/>
            </w:pPr>
            <w:r>
              <w:rPr>
                <w:b/>
                <w:sz w:val="19"/>
              </w:rPr>
              <w:t>Period</w:t>
            </w:r>
          </w:p>
        </w:tc>
        <w:tc>
          <w:tcPr>
            <w:tcW w:type="dxa" w:w="3171"/>
            <w:shd w:val="clear" w:color="auto" w:fill="D9E2F3"/>
          </w:tcPr>
          <w:p>
            <w:pPr>
              <w:keepNext/>
              <w:spacing w:after="0"/>
            </w:pPr>
            <w:r>
              <w:rPr>
                <w:b/>
                <w:sz w:val="19"/>
              </w:rPr>
              <w:t>Work</w:t>
            </w:r>
          </w:p>
        </w:tc>
        <w:tc>
          <w:tcPr>
            <w:tcW w:type="dxa" w:w="2666"/>
            <w:shd w:val="clear" w:color="auto" w:fill="D9E2F3"/>
          </w:tcPr>
          <w:p>
            <w:pPr>
              <w:keepNext/>
              <w:spacing w:after="0"/>
            </w:pPr>
            <w:r>
              <w:rPr>
                <w:b/>
                <w:sz w:val="19"/>
              </w:rPr>
              <w:t>Lead</w:t>
            </w:r>
          </w:p>
        </w:tc>
        <w:tc>
          <w:tcPr>
            <w:tcW w:type="dxa" w:w="2589"/>
            <w:shd w:val="clear" w:color="auto" w:fill="D9E2F3"/>
          </w:tcPr>
          <w:p>
            <w:pPr>
              <w:keepNext/>
              <w:spacing w:after="0"/>
            </w:pPr>
            <w:r>
              <w:rPr>
                <w:b/>
                <w:sz w:val="19"/>
              </w:rPr>
              <w:t>Output</w:t>
            </w:r>
          </w:p>
        </w:tc>
      </w:tr>
      <w:tr>
        <w:trPr>
          <w:cantSplit w:val="true"/>
        </w:trPr>
        <w:tc>
          <w:tcPr>
            <w:tcW w:type="dxa" w:w="1221"/>
          </w:tcPr>
          <w:p>
            <w:pPr>
              <w:keepNext/>
              <w:spacing w:after="0"/>
            </w:pPr>
            <w:r>
              <w:rPr>
                <w:b w:val="0"/>
                <w:sz w:val="19"/>
              </w:rPr>
              <w:t>Days 1 to 30</w:t>
            </w:r>
          </w:p>
        </w:tc>
        <w:tc>
          <w:tcPr>
            <w:tcW w:type="dxa" w:w="3171"/>
          </w:tcPr>
          <w:p>
            <w:pPr>
              <w:keepNext/>
              <w:spacing w:after="0"/>
            </w:pPr>
            <w:r>
              <w:rPr>
                <w:b w:val="0"/>
                <w:sz w:val="19"/>
              </w:rPr>
              <w:t>Name Network Office roles and charter the Network Quality Committee; choose the variant with counsel; confirm the network agreement terms (N-Affiliated); record member entities, locations and the HIPAA arrangement on F-900-02; replace network placeholders; send Appendix A worksheets to counsel, one per state</w:t>
            </w:r>
          </w:p>
        </w:tc>
        <w:tc>
          <w:tcPr>
            <w:tcW w:type="dxa" w:w="2666"/>
          </w:tcPr>
          <w:p>
            <w:pPr>
              <w:keepNext/>
              <w:spacing w:after="0"/>
            </w:pPr>
            <w:r>
              <w:rPr>
                <w:b w:val="0"/>
                <w:sz w:val="19"/>
              </w:rPr>
              <w:t>Network Executive, Network Quality Lead</w:t>
            </w:r>
          </w:p>
        </w:tc>
        <w:tc>
          <w:tcPr>
            <w:tcW w:type="dxa" w:w="2589"/>
          </w:tcPr>
          <w:p>
            <w:pPr>
              <w:keepNext/>
              <w:spacing w:after="0"/>
            </w:pPr>
            <w:r>
              <w:rPr>
                <w:b w:val="0"/>
                <w:sz w:val="19"/>
              </w:rPr>
              <w:t>F-900-02 draft; counsel engaged; network placeholders resolved</w:t>
            </w:r>
          </w:p>
        </w:tc>
      </w:tr>
      <w:tr>
        <w:trPr>
          <w:cantSplit w:val="true"/>
        </w:trPr>
        <w:tc>
          <w:tcPr>
            <w:tcW w:type="dxa" w:w="1221"/>
          </w:tcPr>
          <w:p>
            <w:pPr>
              <w:keepNext/>
              <w:spacing w:after="0"/>
            </w:pPr>
            <w:r>
              <w:rPr>
                <w:b w:val="0"/>
                <w:sz w:val="19"/>
              </w:rPr>
              <w:t>Days 31 to 45</w:t>
            </w:r>
          </w:p>
        </w:tc>
        <w:tc>
          <w:tcPr>
            <w:tcW w:type="dxa" w:w="3171"/>
          </w:tcPr>
          <w:p>
            <w:pPr>
              <w:keepNext/>
              <w:spacing w:after="0"/>
            </w:pPr>
            <w:r>
              <w:rPr>
                <w:b w:val="0"/>
                <w:sz w:val="19"/>
              </w:rPr>
              <w:t xml:space="preserve">Circulate the draft network SOPs to every member site for comment for at least </w:t>
            </w:r>
            <w:r>
              <w:rPr>
                <w:b w:val="0"/>
                <w:sz w:val="19"/>
                <w:highlight w:val="green"/>
              </w:rPr>
              <w:t>[DEFAULT: 14 calendar days]</w:t>
            </w:r>
            <w:r>
              <w:rPr>
                <w:b w:val="0"/>
                <w:sz w:val="19"/>
              </w:rPr>
              <w:t xml:space="preserve"> (SOP-900 5.6.3); complete Appendix B; resolve network-level Site decisions and defaults; each site drafts local addenda on F-900-01; set up F-905-01 and the shared systems section of F-401-01; register shared staff on F-904-01</w:t>
            </w:r>
          </w:p>
        </w:tc>
        <w:tc>
          <w:tcPr>
            <w:tcW w:type="dxa" w:w="2666"/>
          </w:tcPr>
          <w:p>
            <w:pPr>
              <w:keepNext/>
              <w:spacing w:after="0"/>
            </w:pPr>
            <w:r>
              <w:rPr>
                <w:b w:val="0"/>
                <w:sz w:val="19"/>
              </w:rPr>
              <w:t>Network Quality Lead with Network Office leads and site PIs; Site Quality Leads</w:t>
            </w:r>
          </w:p>
        </w:tc>
        <w:tc>
          <w:tcPr>
            <w:tcW w:type="dxa" w:w="2589"/>
          </w:tcPr>
          <w:p>
            <w:pPr>
              <w:keepNext/>
              <w:spacing w:after="0"/>
            </w:pPr>
            <w:r>
              <w:rPr>
                <w:b w:val="0"/>
                <w:sz w:val="19"/>
              </w:rPr>
              <w:t>Site comments received; Appendix B drafted; addenda drafted; data flows recorded</w:t>
            </w:r>
          </w:p>
        </w:tc>
      </w:tr>
      <w:tr>
        <w:trPr>
          <w:cantSplit w:val="true"/>
        </w:trPr>
        <w:tc>
          <w:tcPr>
            <w:tcW w:type="dxa" w:w="1221"/>
          </w:tcPr>
          <w:p>
            <w:pPr>
              <w:keepNext/>
              <w:spacing w:after="0"/>
            </w:pPr>
            <w:r>
              <w:rPr>
                <w:b w:val="0"/>
                <w:sz w:val="19"/>
              </w:rPr>
              <w:t>Days 46 to 60</w:t>
            </w:r>
          </w:p>
        </w:tc>
        <w:tc>
          <w:tcPr>
            <w:tcW w:type="dxa" w:w="3171"/>
          </w:tcPr>
          <w:p>
            <w:pPr>
              <w:keepNext/>
              <w:spacing w:after="0"/>
            </w:pPr>
            <w:r>
              <w:rPr>
                <w:b w:val="0"/>
                <w:sz w:val="19"/>
              </w:rPr>
              <w:t xml:space="preserve">Resolve and record comments; approve network SOPs on F-100-01 and approve Appendix B and F-900-02; set the network effective date at least </w:t>
            </w:r>
            <w:r>
              <w:rPr>
                <w:b w:val="0"/>
                <w:sz w:val="19"/>
                <w:highlight w:val="green"/>
              </w:rPr>
              <w:t>[DEFAULT: 30 calendar days]</w:t>
            </w:r>
            <w:r>
              <w:rPr>
                <w:b w:val="0"/>
                <w:sz w:val="19"/>
              </w:rPr>
              <w:t xml:space="preserve"> after approval (SOP-900 5.7.1)</w:t>
            </w:r>
          </w:p>
        </w:tc>
        <w:tc>
          <w:tcPr>
            <w:tcW w:type="dxa" w:w="2666"/>
          </w:tcPr>
          <w:p>
            <w:pPr>
              <w:keepNext/>
              <w:spacing w:after="0"/>
            </w:pPr>
            <w:r>
              <w:rPr>
                <w:b w:val="0"/>
                <w:sz w:val="19"/>
              </w:rPr>
              <w:t>Network Quality Committee, Network Quality Lead</w:t>
            </w:r>
          </w:p>
        </w:tc>
        <w:tc>
          <w:tcPr>
            <w:tcW w:type="dxa" w:w="2589"/>
          </w:tcPr>
          <w:p>
            <w:pPr>
              <w:keepNext/>
              <w:spacing w:after="0"/>
            </w:pPr>
            <w:r>
              <w:rPr>
                <w:b w:val="0"/>
                <w:sz w:val="19"/>
              </w:rPr>
              <w:t>Approved network library; Appendix B adopted; effective date set</w:t>
            </w:r>
          </w:p>
        </w:tc>
      </w:tr>
      <w:tr>
        <w:trPr>
          <w:cantSplit w:val="true"/>
        </w:trPr>
        <w:tc>
          <w:tcPr>
            <w:tcW w:type="dxa" w:w="1221"/>
          </w:tcPr>
          <w:p>
            <w:pPr>
              <w:keepNext/>
              <w:spacing w:after="0"/>
            </w:pPr>
            <w:r>
              <w:rPr>
                <w:b w:val="0"/>
                <w:sz w:val="19"/>
              </w:rPr>
              <w:t>Days 61 to 75</w:t>
            </w:r>
          </w:p>
        </w:tc>
        <w:tc>
          <w:tcPr>
            <w:tcW w:type="dxa" w:w="3171"/>
          </w:tcPr>
          <w:p>
            <w:pPr>
              <w:keepNext/>
              <w:spacing w:after="0"/>
            </w:pPr>
            <w:r>
              <w:rPr>
                <w:b w:val="0"/>
                <w:sz w:val="19"/>
              </w:rPr>
              <w:t>Network Quality Lead checks addenda; each site approves its addenda and records adoption on F-100-01; training starts</w:t>
            </w:r>
          </w:p>
        </w:tc>
        <w:tc>
          <w:tcPr>
            <w:tcW w:type="dxa" w:w="2666"/>
          </w:tcPr>
          <w:p>
            <w:pPr>
              <w:keepNext/>
              <w:spacing w:after="0"/>
            </w:pPr>
            <w:r>
              <w:rPr>
                <w:b w:val="0"/>
                <w:sz w:val="19"/>
              </w:rPr>
              <w:t>Network Quality Lead, Site Directors, Site Quality Leads</w:t>
            </w:r>
          </w:p>
        </w:tc>
        <w:tc>
          <w:tcPr>
            <w:tcW w:type="dxa" w:w="2589"/>
          </w:tcPr>
          <w:p>
            <w:pPr>
              <w:keepNext/>
              <w:spacing w:after="0"/>
            </w:pPr>
            <w:r>
              <w:rPr>
                <w:b w:val="0"/>
                <w:sz w:val="19"/>
              </w:rPr>
              <w:t>Approved addenda; site adoption recorded</w:t>
            </w:r>
          </w:p>
        </w:tc>
      </w:tr>
      <w:tr>
        <w:trPr>
          <w:cantSplit w:val="true"/>
        </w:trPr>
        <w:tc>
          <w:tcPr>
            <w:tcW w:type="dxa" w:w="1221"/>
          </w:tcPr>
          <w:p>
            <w:pPr>
              <w:keepNext/>
              <w:spacing w:after="0"/>
            </w:pPr>
            <w:r>
              <w:rPr>
                <w:b w:val="0"/>
                <w:sz w:val="19"/>
              </w:rPr>
              <w:t>Days 76 to 90</w:t>
            </w:r>
          </w:p>
        </w:tc>
        <w:tc>
          <w:tcPr>
            <w:tcW w:type="dxa" w:w="3171"/>
          </w:tcPr>
          <w:p>
            <w:pPr>
              <w:keepNext/>
              <w:spacing w:after="0"/>
            </w:pPr>
            <w:r>
              <w:rPr>
                <w:b w:val="0"/>
                <w:sz w:val="19"/>
              </w:rPr>
              <w:t>Train all staff at every site on network SOPs, addenda and Appendix B roles; each Site Director confirms training; record any later site effective date on F-100-03; retire old site SOPs on each site's effective date</w:t>
            </w:r>
          </w:p>
        </w:tc>
        <w:tc>
          <w:tcPr>
            <w:tcW w:type="dxa" w:w="2666"/>
          </w:tcPr>
          <w:p>
            <w:pPr>
              <w:keepNext/>
              <w:spacing w:after="0"/>
            </w:pPr>
            <w:r>
              <w:rPr>
                <w:b w:val="0"/>
                <w:sz w:val="19"/>
              </w:rPr>
              <w:t>Network Quality Lead or Network Training Lead, Site Directors</w:t>
            </w:r>
          </w:p>
        </w:tc>
        <w:tc>
          <w:tcPr>
            <w:tcW w:type="dxa" w:w="2589"/>
          </w:tcPr>
          <w:p>
            <w:pPr>
              <w:keepNext/>
              <w:spacing w:after="0"/>
            </w:pPr>
            <w:r>
              <w:rPr>
                <w:b w:val="0"/>
                <w:sz w:val="19"/>
              </w:rPr>
              <w:t>Library effective at every site</w:t>
            </w:r>
          </w:p>
        </w:tc>
      </w:tr>
      <w:tr>
        <w:trPr>
          <w:cantSplit w:val="true"/>
        </w:trPr>
        <w:tc>
          <w:tcPr>
            <w:tcW w:type="dxa" w:w="1221"/>
          </w:tcPr>
          <w:p>
            <w:pPr>
              <w:spacing w:after="0"/>
            </w:pPr>
            <w:r>
              <w:rPr>
                <w:b w:val="0"/>
                <w:sz w:val="19"/>
              </w:rPr>
              <w:t>First 90 days after effective date</w:t>
            </w:r>
          </w:p>
        </w:tc>
        <w:tc>
          <w:tcPr>
            <w:tcW w:type="dxa" w:w="3171"/>
          </w:tcPr>
          <w:p>
            <w:pPr>
              <w:spacing w:after="0"/>
            </w:pPr>
            <w:r>
              <w:rPr>
                <w:b w:val="0"/>
                <w:sz w:val="19"/>
              </w:rPr>
              <w:t>Site QC of first uses of new forms; first scorecards (F-903-01); first network audit plan approved; fix Appendix B assignments that do not work through F-900-02</w:t>
            </w:r>
          </w:p>
        </w:tc>
        <w:tc>
          <w:tcPr>
            <w:tcW w:type="dxa" w:w="2666"/>
          </w:tcPr>
          <w:p>
            <w:pPr>
              <w:spacing w:after="0"/>
            </w:pPr>
            <w:r>
              <w:rPr>
                <w:b w:val="0"/>
                <w:sz w:val="19"/>
              </w:rPr>
              <w:t>Network Quality Lead, Site Quality Leads</w:t>
            </w:r>
          </w:p>
        </w:tc>
        <w:tc>
          <w:tcPr>
            <w:tcW w:type="dxa" w:w="2589"/>
          </w:tcPr>
          <w:p>
            <w:pPr>
              <w:spacing w:after="0"/>
            </w:pPr>
            <w:r>
              <w:rPr>
                <w:b w:val="0"/>
                <w:sz w:val="19"/>
              </w:rPr>
              <w:t>First scorecards; revision list</w:t>
            </w:r>
          </w:p>
        </w:tc>
      </w:tr>
    </w:tbl>
    <w:p>
      <w:pPr>
        <w:spacing w:after="40"/>
      </w:pPr>
    </w:p>
    <w:p>
      <w:pPr/>
      <w:r>
        <w:rPr>
          <w:b w:val="0"/>
        </w:rPr>
        <w:t>Active studies continue during adoption. On the effective date, new SOPs apply to ongoing work from that day forward. Records made before the effective date are not redone.</w:t>
      </w:r>
    </w:p>
    <w:p>
      <w:pPr>
        <w:pStyle w:val="Heading1"/>
      </w:pPr>
      <w:r>
        <w:t>7. What this library leaves out</w:t>
      </w:r>
    </w:p>
    <w:p>
      <w:pPr/>
      <w:r>
        <w:rPr>
          <w:b w:val="0"/>
        </w:rPr>
        <w:t>The library is written for the work of an independent investigator site. It excludes the following. Sites that do this work need separate procedures.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Not covered</w:t>
            </w:r>
          </w:p>
        </w:tc>
        <w:tc>
          <w:tcPr>
            <w:tcW w:type="dxa" w:w="6946"/>
            <w:shd w:val="clear" w:color="auto" w:fill="D9E2F3"/>
          </w:tcPr>
          <w:p>
            <w:pPr>
              <w:spacing w:after="0"/>
            </w:pPr>
            <w:r>
              <w:rPr>
                <w:b/>
                <w:sz w:val="19"/>
              </w:rPr>
              <w:t>Reason or pointer</w:t>
            </w:r>
          </w:p>
        </w:tc>
      </w:tr>
      <w:tr>
        <w:trPr>
          <w:cantSplit w:val="true"/>
        </w:trPr>
        <w:tc>
          <w:tcPr>
            <w:tcW w:type="dxa" w:w="2701"/>
          </w:tcPr>
          <w:p>
            <w:pPr>
              <w:spacing w:after="0"/>
            </w:pPr>
            <w:r>
              <w:rPr>
                <w:b w:val="0"/>
                <w:sz w:val="19"/>
              </w:rPr>
              <w:t>Sponsor SOPs (other than SOP-800 for a site acting as sponsor-investigator)</w:t>
            </w:r>
          </w:p>
        </w:tc>
        <w:tc>
          <w:tcPr>
            <w:tcW w:type="dxa" w:w="6946"/>
          </w:tcPr>
          <w:p>
            <w:pPr>
              <w:spacing w:after="0"/>
            </w:pPr>
            <w:r>
              <w:rPr>
                <w:b w:val="0"/>
                <w:sz w:val="19"/>
              </w:rPr>
              <w:t>Sponsor duties under 21 CFR 312.50 to 312.59, 21 CFR 812 Subpart C and ICH E6(R3) Annex 1, section 3 need their own system</w:t>
            </w:r>
          </w:p>
        </w:tc>
      </w:tr>
      <w:tr>
        <w:trPr>
          <w:cantSplit w:val="true"/>
        </w:trPr>
        <w:tc>
          <w:tcPr>
            <w:tcW w:type="dxa" w:w="2701"/>
          </w:tcPr>
          <w:p>
            <w:pPr>
              <w:spacing w:after="0"/>
            </w:pPr>
            <w:r>
              <w:rPr>
                <w:b w:val="0"/>
                <w:sz w:val="19"/>
              </w:rPr>
              <w:t>CRO operations</w:t>
            </w:r>
          </w:p>
        </w:tc>
        <w:tc>
          <w:tcPr>
            <w:tcW w:type="dxa" w:w="6946"/>
          </w:tcPr>
          <w:p>
            <w:pPr>
              <w:spacing w:after="0"/>
            </w:pPr>
            <w:r>
              <w:rPr>
                <w:b w:val="0"/>
                <w:sz w:val="19"/>
              </w:rPr>
              <w:t>Monitoring, data management, pharmacovigilance and project management for sponsors are sponsor-side functions</w:t>
            </w:r>
          </w:p>
        </w:tc>
      </w:tr>
      <w:tr>
        <w:trPr>
          <w:cantSplit w:val="true"/>
        </w:trPr>
        <w:tc>
          <w:tcPr>
            <w:tcW w:type="dxa" w:w="2701"/>
          </w:tcPr>
          <w:p>
            <w:pPr>
              <w:spacing w:after="0"/>
            </w:pPr>
            <w:r>
              <w:rPr>
                <w:b w:val="0"/>
                <w:sz w:val="19"/>
              </w:rPr>
              <w:t>IRB operations</w:t>
            </w:r>
          </w:p>
        </w:tc>
        <w:tc>
          <w:tcPr>
            <w:tcW w:type="dxa" w:w="6946"/>
          </w:tcPr>
          <w:p>
            <w:pPr>
              <w:spacing w:after="0"/>
            </w:pPr>
            <w:r>
              <w:rPr>
                <w:b w:val="0"/>
                <w:sz w:val="19"/>
              </w:rPr>
              <w:t>The library assumes an external IRB. A site that runs its own IRB needs procedures under 21 CFR 56 and, if federally funded, 45 CFR 46</w:t>
            </w:r>
          </w:p>
        </w:tc>
      </w:tr>
      <w:tr>
        <w:trPr>
          <w:cantSplit w:val="true"/>
        </w:trPr>
        <w:tc>
          <w:tcPr>
            <w:tcW w:type="dxa" w:w="2701"/>
          </w:tcPr>
          <w:p>
            <w:pPr>
              <w:spacing w:after="0"/>
            </w:pPr>
            <w:r>
              <w:rPr>
                <w:b w:val="0"/>
                <w:sz w:val="19"/>
              </w:rPr>
              <w:t>Phase 1 unit specifics</w:t>
            </w:r>
          </w:p>
        </w:tc>
        <w:tc>
          <w:tcPr>
            <w:tcW w:type="dxa" w:w="6946"/>
          </w:tcPr>
          <w:p>
            <w:pPr>
              <w:spacing w:after="0"/>
            </w:pPr>
            <w:r>
              <w:rPr>
                <w:b w:val="0"/>
                <w:sz w:val="19"/>
              </w:rPr>
              <w:t>First-in-human dosing, overnight confinement, healthy-volunteer screening registries and on-site emergency response for dose escalation need dedicated procedures</w:t>
            </w:r>
          </w:p>
        </w:tc>
      </w:tr>
      <w:tr>
        <w:trPr>
          <w:cantSplit w:val="true"/>
        </w:trPr>
        <w:tc>
          <w:tcPr>
            <w:tcW w:type="dxa" w:w="2701"/>
          </w:tcPr>
          <w:p>
            <w:pPr>
              <w:spacing w:after="0"/>
            </w:pPr>
            <w:r>
              <w:rPr>
                <w:b w:val="0"/>
                <w:sz w:val="19"/>
              </w:rPr>
              <w:t>Pharmacy compounding and sterile preparation</w:t>
            </w:r>
          </w:p>
        </w:tc>
        <w:tc>
          <w:tcPr>
            <w:tcW w:type="dxa" w:w="6946"/>
          </w:tcPr>
          <w:p>
            <w:pPr>
              <w:spacing w:after="0"/>
            </w:pPr>
            <w:r>
              <w:rPr>
                <w:b w:val="0"/>
                <w:sz w:val="19"/>
              </w:rPr>
              <w:t>Follow USP compounding chapters and state pharmacy law. SOP-304 covers storage, dispensing and accountability only</w:t>
            </w:r>
          </w:p>
        </w:tc>
      </w:tr>
      <w:tr>
        <w:trPr>
          <w:cantSplit w:val="true"/>
        </w:trPr>
        <w:tc>
          <w:tcPr>
            <w:tcW w:type="dxa" w:w="2701"/>
          </w:tcPr>
          <w:p>
            <w:pPr>
              <w:spacing w:after="0"/>
            </w:pPr>
            <w:r>
              <w:rPr>
                <w:b w:val="0"/>
                <w:sz w:val="19"/>
              </w:rPr>
              <w:t>Non-US trials and EU requirements</w:t>
            </w:r>
          </w:p>
        </w:tc>
        <w:tc>
          <w:tcPr>
            <w:tcW w:type="dxa" w:w="6946"/>
          </w:tcPr>
          <w:p>
            <w:pPr>
              <w:spacing w:after="0"/>
            </w:pPr>
            <w:r>
              <w:rPr>
                <w:b w:val="0"/>
                <w:sz w:val="19"/>
              </w:rPr>
              <w:t>The library follows ICH E6(R3) principles but cites US law. Trials run outside the US need local regulations, EU Clinical Trials Regulation and local ethics requirements</w:t>
            </w:r>
          </w:p>
        </w:tc>
      </w:tr>
      <w:tr>
        <w:trPr>
          <w:cantSplit w:val="true"/>
        </w:trPr>
        <w:tc>
          <w:tcPr>
            <w:tcW w:type="dxa" w:w="2701"/>
          </w:tcPr>
          <w:p>
            <w:pPr>
              <w:spacing w:after="0"/>
            </w:pPr>
            <w:r>
              <w:rPr>
                <w:b w:val="0"/>
                <w:sz w:val="19"/>
              </w:rPr>
              <w:t>Oncology and radiation specifics</w:t>
            </w:r>
          </w:p>
        </w:tc>
        <w:tc>
          <w:tcPr>
            <w:tcW w:type="dxa" w:w="6946"/>
          </w:tcPr>
          <w:p>
            <w:pPr>
              <w:spacing w:after="0"/>
            </w:pPr>
            <w:r>
              <w:rPr>
                <w:b w:val="0"/>
                <w:sz w:val="19"/>
              </w:rPr>
              <w:t>Tumor response assessment, radiation safety, radioactive IP licensing and chemotherapy handling are not covered</w:t>
            </w:r>
          </w:p>
        </w:tc>
      </w:tr>
      <w:tr>
        <w:trPr>
          <w:cantSplit w:val="true"/>
        </w:trPr>
        <w:tc>
          <w:tcPr>
            <w:tcW w:type="dxa" w:w="2701"/>
          </w:tcPr>
          <w:p>
            <w:pPr>
              <w:spacing w:after="0"/>
            </w:pPr>
            <w:r>
              <w:rPr>
                <w:b w:val="0"/>
                <w:sz w:val="19"/>
              </w:rPr>
              <w:t>Federally funded research details</w:t>
            </w:r>
          </w:p>
        </w:tc>
        <w:tc>
          <w:tcPr>
            <w:tcW w:type="dxa" w:w="6946"/>
          </w:tcPr>
          <w:p>
            <w:pPr>
              <w:spacing w:after="0"/>
            </w:pPr>
            <w:r>
              <w:rPr>
                <w:b w:val="0"/>
                <w:sz w:val="19"/>
              </w:rPr>
              <w:t>The library notes where the Common Rule applies but is written for FDA-regulated industry trials</w:t>
            </w:r>
          </w:p>
        </w:tc>
      </w:tr>
      <w:tr>
        <w:trPr>
          <w:cantSplit w:val="true"/>
        </w:trPr>
        <w:tc>
          <w:tcPr>
            <w:tcW w:type="dxa" w:w="2701"/>
          </w:tcPr>
          <w:p>
            <w:pPr>
              <w:spacing w:after="0"/>
            </w:pPr>
            <w:r>
              <w:rPr>
                <w:b w:val="0"/>
                <w:sz w:val="19"/>
              </w:rPr>
              <w:t>Biosafety and gene therapy oversight</w:t>
            </w:r>
          </w:p>
        </w:tc>
        <w:tc>
          <w:tcPr>
            <w:tcW w:type="dxa" w:w="6946"/>
          </w:tcPr>
          <w:p>
            <w:pPr>
              <w:spacing w:after="0"/>
            </w:pPr>
            <w:r>
              <w:rPr>
                <w:b w:val="0"/>
                <w:sz w:val="19"/>
              </w:rPr>
              <w:t>Institutional Biosafety Committee review under the NIH Guidelines is not covered</w:t>
            </w:r>
          </w:p>
        </w:tc>
      </w:tr>
      <w:tr>
        <w:trPr>
          <w:cantSplit w:val="true"/>
        </w:trPr>
        <w:tc>
          <w:tcPr>
            <w:tcW w:type="dxa" w:w="2701"/>
          </w:tcPr>
          <w:p>
            <w:pPr>
              <w:spacing w:after="0"/>
            </w:pPr>
            <w:r>
              <w:rPr>
                <w:b w:val="0"/>
                <w:sz w:val="19"/>
              </w:rPr>
              <w:t>Employment law, billing for clinical care, general practice compliance</w:t>
            </w:r>
          </w:p>
        </w:tc>
        <w:tc>
          <w:tcPr>
            <w:tcW w:type="dxa" w:w="6946"/>
          </w:tcPr>
          <w:p>
            <w:pPr>
              <w:spacing w:after="0"/>
            </w:pPr>
            <w:r>
              <w:rPr>
                <w:b w:val="0"/>
                <w:sz w:val="19"/>
              </w:rPr>
              <w:t>Outside the scope of research SOPs. SOP-202 covers only claims for study participants</w:t>
            </w:r>
          </w:p>
        </w:tc>
      </w:tr>
      <w:tr>
        <w:trPr>
          <w:cantSplit w:val="true"/>
        </w:trPr>
        <w:tc>
          <w:tcPr>
            <w:tcW w:type="dxa" w:w="2701"/>
          </w:tcPr>
          <w:p>
            <w:pPr>
              <w:spacing w:after="0"/>
            </w:pPr>
            <w:r>
              <w:rPr>
                <w:b w:val="0"/>
                <w:sz w:val="19"/>
              </w:rPr>
              <w:t>ClinicalTrials.gov duties for industry studies</w:t>
            </w:r>
          </w:p>
        </w:tc>
        <w:tc>
          <w:tcPr>
            <w:tcW w:type="dxa" w:w="6946"/>
          </w:tcPr>
          <w:p>
            <w:pPr>
              <w:spacing w:after="0"/>
            </w:pPr>
            <w:r>
              <w:rPr>
                <w:b w:val="0"/>
                <w:sz w:val="19"/>
              </w:rPr>
              <w:t>The sponsor is the responsible party. SOP-800 covers registration and results only where the site's PI is sponsor-investigator</w:t>
            </w:r>
          </w:p>
        </w:tc>
      </w:tr>
    </w:tbl>
    <w:p>
      <w:pPr>
        <w:spacing w:after="40"/>
      </w:pPr>
    </w:p>
    <w:p>
      <w:pPr>
        <w:pStyle w:val="Heading1"/>
      </w:pPr>
      <w:r>
        <w:t>8. Points that are easy to misread</w:t>
      </w:r>
    </w:p>
    <w:p>
      <w:pPr/>
      <w:r>
        <w:rPr>
          <w:b w:val="0"/>
        </w:rPr>
        <w:t>Check these with the Regulatory Currency Note before approval:</w:t>
      </w:r>
    </w:p>
    <w:p>
      <w:pPr>
        <w:pStyle w:val="ListBullet"/>
        <w:spacing w:after="40"/>
        <w:ind w:left="360" w:hanging="259"/>
      </w:pPr>
      <w:r>
        <w:rPr>
          <w:b/>
        </w:rPr>
        <w:t>10-year claims records (SOP-202).</w:t>
      </w:r>
      <w:r>
        <w:rPr>
          <w:b w:val="0"/>
        </w:rPr>
        <w:t xml:space="preserve"> The </w:t>
      </w:r>
      <w:r>
        <w:rPr>
          <w:b w:val="0"/>
          <w:highlight w:val="green"/>
        </w:rPr>
        <w:t>[DEFAULT: 10 years]</w:t>
      </w:r>
      <w:r>
        <w:rPr>
          <w:b w:val="0"/>
        </w:rPr>
        <w:t xml:space="preserve"> retention for research billing records is a conservative site choice set to cover the False Claims Act limitations period. No regulation requires the site to keep claims records for 10 years. Change it if counsel advises a different period.</w:t>
      </w:r>
    </w:p>
    <w:p>
      <w:pPr>
        <w:pStyle w:val="ListBullet"/>
        <w:spacing w:after="40"/>
        <w:ind w:left="360" w:hanging="259"/>
      </w:pPr>
      <w:r>
        <w:rPr>
          <w:b/>
        </w:rPr>
        <w:t>Debarment and exclusion screening (SOP-103, SOP-105, SOP-704).</w:t>
      </w:r>
      <w:r>
        <w:rPr>
          <w:b w:val="0"/>
        </w:rPr>
        <w:t xml:space="preserve"> Screening staff and providers is site practice that supports contract certifications. It is not an FDA requirement.</w:t>
      </w:r>
    </w:p>
    <w:p>
      <w:pPr>
        <w:pStyle w:val="ListBullet"/>
        <w:spacing w:after="40"/>
        <w:ind w:left="360" w:hanging="259"/>
      </w:pPr>
      <w:r>
        <w:rPr>
          <w:b/>
        </w:rPr>
        <w:t>GCP refresher interval (SOP-103).</w:t>
      </w:r>
      <w:r>
        <w:rPr>
          <w:b w:val="0"/>
        </w:rPr>
        <w:t xml:space="preserve"> No regulation sets one. 3 years is a sponsor convention.</w:t>
      </w:r>
    </w:p>
    <w:p>
      <w:pPr>
        <w:pStyle w:val="ListBullet"/>
        <w:spacing w:after="40"/>
        <w:ind w:left="360" w:hanging="259"/>
      </w:pPr>
      <w:r>
        <w:rPr>
          <w:b/>
        </w:rPr>
        <w:t>DEA telemedicine prescribing (SOP-313).</w:t>
      </w:r>
      <w:r>
        <w:rPr>
          <w:b w:val="0"/>
        </w:rPr>
        <w:t xml:space="preserve"> The temporary DEA and HHS flexibilities for prescribing controlled substances after a telemedicine visit were extended through 31 December 2026. A permanent rule was not final at the date of the Currency Note. Confirm the rules in force before relying on them.</w:t>
      </w:r>
    </w:p>
    <w:p>
      <w:pPr>
        <w:pStyle w:val="ListBullet"/>
        <w:spacing w:after="40"/>
        <w:ind w:left="360" w:hanging="259"/>
      </w:pPr>
      <w:r>
        <w:rPr>
          <w:b/>
        </w:rPr>
        <w:t>FDA single IRB and Common Rule harmonization (SOP-203, SOP-301).</w:t>
      </w:r>
      <w:r>
        <w:rPr>
          <w:b w:val="0"/>
        </w:rPr>
        <w:t xml:space="preserve"> FDA's 2022 proposed rules on single IRB review for cooperative research and on harmonizing 21 CFR 50 and 56 with the Common Rule (including a key information section) are proposed, not final. The SOPs say "if and when finalized".</w:t>
      </w:r>
    </w:p>
    <w:p>
      <w:pPr>
        <w:pStyle w:val="ListBullet"/>
        <w:spacing w:after="40"/>
        <w:ind w:left="360" w:hanging="259"/>
      </w:pPr>
      <w:r>
        <w:rPr>
          <w:b/>
        </w:rPr>
        <w:t>Single IRB for networks (SOP-203, SOP-800).</w:t>
      </w:r>
      <w:r>
        <w:rPr>
          <w:b w:val="0"/>
        </w:rPr>
        <w:t xml:space="preserve"> A network running one protocol at several member sites will feel FDA's proposed single IRB rule for cooperative research more than a single site will. It is proposed, not final. Federally funded cooperative research already needs a single IRB under the Common Rule (45 CFR 46.114), and in N-Affiliated each member entity engaged in the research signs the reliance agreement.</w:t>
      </w:r>
    </w:p>
    <w:p>
      <w:pPr>
        <w:pStyle w:val="ListBullet"/>
        <w:spacing w:after="40"/>
        <w:ind w:left="360" w:hanging="259"/>
      </w:pPr>
      <w:r>
        <w:rPr>
          <w:b/>
        </w:rPr>
        <w:t>Remote regulatory assessments (SOP-702).</w:t>
      </w:r>
      <w:r>
        <w:rPr>
          <w:b w:val="0"/>
        </w:rPr>
        <w:t xml:space="preserve"> Most RRAs are voluntary, but a records request under FD&amp;C Act section 704(a)(4) is mandatory. The site must provide the records within the time FDA sets.</w:t>
      </w:r>
    </w:p>
    <w:p>
      <w:pPr>
        <w:pStyle w:val="ListBullet"/>
        <w:spacing w:after="40"/>
        <w:ind w:left="360" w:hanging="259"/>
      </w:pPr>
      <w:r>
        <w:rPr>
          <w:b/>
        </w:rPr>
        <w:t>Form FDA 1572 updates (SOP-101, SOP-205).</w:t>
      </w:r>
      <w:r>
        <w:rPr>
          <w:b w:val="0"/>
        </w:rPr>
        <w:t xml:space="preserve"> A new signed 1572 is needed only when a new PI takes over the study or a new protocol is added (FDA Form FDA 1572 FAQs, 2010). Other changes (a new Sub-I, laboratory or location) are recorded and sent to the sponsor; a new form is needed only if the sponsor asks.</w:t>
      </w:r>
    </w:p>
    <w:p>
      <w:pPr>
        <w:pStyle w:val="Heading1"/>
      </w:pPr>
      <w:r>
        <w:t>9. Keeping the library current</w:t>
      </w:r>
    </w:p>
    <w:p>
      <w:pPr/>
      <w:r>
        <w:rPr>
          <w:b w:val="0"/>
        </w:rPr>
        <w:t>The Quality Lead owns currency. The routine is:</w:t>
      </w:r>
    </w:p>
    <w:p>
      <w:pPr>
        <w:pStyle w:val="ListBullet"/>
        <w:spacing w:after="40"/>
        <w:ind w:left="360" w:hanging="259"/>
      </w:pPr>
      <w:r>
        <w:rPr>
          <w:b/>
        </w:rPr>
        <w:t>Periodic review.</w:t>
      </w:r>
      <w:r>
        <w:rPr>
          <w:b w:val="0"/>
        </w:rPr>
        <w:t xml:space="preserve"> Each SOP is reviewed at least every </w:t>
      </w:r>
      <w:r>
        <w:rPr>
          <w:b w:val="0"/>
          <w:highlight w:val="green"/>
        </w:rPr>
        <w:t>[DEFAULT: 2 years]</w:t>
      </w:r>
      <w:r>
        <w:rPr>
          <w:b w:val="0"/>
        </w:rPr>
        <w:t xml:space="preserve"> and the outcome recorded on F-100-01 (SOP-100).</w:t>
      </w:r>
    </w:p>
    <w:p>
      <w:pPr>
        <w:pStyle w:val="ListBullet"/>
        <w:spacing w:after="40"/>
        <w:ind w:left="360" w:hanging="259"/>
      </w:pPr>
      <w:r>
        <w:rPr>
          <w:b/>
        </w:rPr>
        <w:t>Triggered review.</w:t>
      </w:r>
      <w:r>
        <w:rPr>
          <w:b w:val="0"/>
        </w:rPr>
        <w:t xml:space="preserve"> Revise an SOP when a regulation or guidance changes, an inspection or audit finds a gap, a CAPA requires it, a recurring sponsor requirement conflicts with it, or practice has changed. Record the trigger on F-100-01.</w:t>
      </w:r>
    </w:p>
    <w:p>
      <w:pPr>
        <w:pStyle w:val="ListBullet"/>
        <w:spacing w:after="40"/>
        <w:ind w:left="360" w:hanging="259"/>
      </w:pPr>
      <w:r>
        <w:rPr>
          <w:b/>
        </w:rPr>
        <w:t>Regulatory watch.</w:t>
      </w:r>
      <w:r>
        <w:rPr>
          <w:b w:val="0"/>
        </w:rPr>
        <w:t xml:space="preserve"> At least </w:t>
      </w:r>
      <w:r>
        <w:rPr>
          <w:b w:val="0"/>
          <w:highlight w:val="green"/>
        </w:rPr>
        <w:t>[DEFAULT: quarterly]</w:t>
      </w:r>
      <w:r>
        <w:rPr>
          <w:b w:val="0"/>
        </w:rPr>
        <w:t>, the Quality Lead checks FDA's guidance and Federal Register pages, ICH's E6 page, the central IRB's announcements and the state items in Appendix A. Record what was checked and whether any SOP is affected.</w:t>
      </w:r>
    </w:p>
    <w:p>
      <w:pPr>
        <w:pStyle w:val="ListBullet"/>
        <w:spacing w:after="40"/>
        <w:ind w:left="360" w:hanging="259"/>
      </w:pPr>
      <w:r>
        <w:rPr>
          <w:b/>
        </w:rPr>
        <w:t>Regulatory Currency Note.</w:t>
      </w:r>
      <w:r>
        <w:rPr>
          <w:b w:val="0"/>
        </w:rPr>
        <w:t xml:space="preserve"> Re-check every item in the note at least </w:t>
      </w:r>
      <w:r>
        <w:rPr>
          <w:b w:val="0"/>
          <w:highlight w:val="green"/>
        </w:rPr>
        <w:t>[DEFAULT: annually]</w:t>
      </w:r>
      <w:r>
        <w:rPr>
          <w:b w:val="0"/>
        </w:rPr>
        <w:t xml:space="preserve"> and when a listed item changes status (for example a proposed rule becomes final). Update the note's date.</w:t>
      </w:r>
    </w:p>
    <w:p>
      <w:pPr>
        <w:pStyle w:val="ListBullet"/>
        <w:spacing w:after="40"/>
        <w:ind w:left="360" w:hanging="259"/>
      </w:pPr>
      <w:r>
        <w:rPr>
          <w:b/>
        </w:rPr>
        <w:t>Appendix A.</w:t>
      </w:r>
      <w:r>
        <w:rPr>
          <w:b w:val="0"/>
        </w:rPr>
        <w:t xml:space="preserve"> Review each state worksheet at least </w:t>
      </w:r>
      <w:r>
        <w:rPr>
          <w:b w:val="0"/>
          <w:highlight w:val="green"/>
        </w:rPr>
        <w:t>[DEFAULT: annually]</w:t>
      </w:r>
      <w:r>
        <w:rPr>
          <w:b w:val="0"/>
        </w:rPr>
        <w:t xml:space="preserve"> and whenever the site adds a state.</w:t>
      </w:r>
    </w:p>
    <w:p>
      <w:pPr>
        <w:pStyle w:val="ListBullet"/>
        <w:spacing w:after="40"/>
        <w:ind w:left="360" w:hanging="259"/>
      </w:pPr>
      <w:r>
        <w:rPr>
          <w:b/>
        </w:rPr>
        <w:t>Forms.</w:t>
      </w:r>
      <w:r>
        <w:rPr>
          <w:b w:val="0"/>
        </w:rPr>
        <w:t xml:space="preserve"> Change forms only through SOP-100. Keep form codes stable so cross-references in SOPs stay correct.</w:t>
      </w:r>
    </w:p>
    <w:p>
      <w:pPr>
        <w:pStyle w:val="ListBullet"/>
        <w:spacing w:after="40"/>
        <w:ind w:left="360" w:hanging="259"/>
      </w:pPr>
      <w:r>
        <w:rPr>
          <w:b/>
        </w:rPr>
        <w:t>Lessons from use.</w:t>
      </w:r>
      <w:r>
        <w:rPr>
          <w:b w:val="0"/>
        </w:rPr>
        <w:t xml:space="preserve"> Collect SOP deviations, monitoring findings and staff questions. Trends reviewed at least </w:t>
      </w:r>
      <w:r>
        <w:rPr>
          <w:b w:val="0"/>
          <w:highlight w:val="green"/>
        </w:rPr>
        <w:t>[DEFAULT: quarterly]</w:t>
      </w:r>
      <w:r>
        <w:rPr>
          <w:b w:val="0"/>
        </w:rPr>
        <w:t xml:space="preserve"> (SOP-100) are the best signal that an SOP needs to change.</w:t>
      </w: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Independent Site SOP Library: Reference Edition,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Adoption Guide</w:t>
          </w:r>
        </w:p>
      </w:tc>
      <w:tc>
        <w:tcPr>
          <w:tcW w:type="dxa" w:w="2894"/>
        </w:tcPr>
        <w:p>
          <w:pPr>
            <w:jc w:val="right"/>
          </w:pPr>
          <w:r>
            <w:rPr>
              <w:b w:val="0"/>
              <w:color w:val="404040"/>
              <w:sz w:val="17"/>
            </w:rPr>
            <w:t>Template release 1.3</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GUIDE-ADOPTION Adoption Guide</dc:title>
  <dc:subject>GUIDE</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