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color w:val="2F5496"/>
          <w:sz w:val="22"/>
        </w:rPr>
        <w:t>Independent Site SOP Library: Reference Edition</w:t>
      </w:r>
    </w:p>
    <w:p>
      <w:pPr>
        <w:pStyle w:val="Title"/>
        <w:pBdr>
          <w:bottom w:val="single" w:sz="12" w:space="1" w:color="1F3864"/>
        </w:pBdr>
        <w:spacing w:after="120"/>
      </w:pPr>
      <w:r>
        <w:rPr>
          <w:b w:val="0"/>
          <w:color w:val="1F3864"/>
          <w:sz w:val="36"/>
        </w:rPr>
        <w:t>State Law Worksheet</w:t>
      </w:r>
    </w:p>
    <w:p>
      <w:pPr>
        <w:pStyle w:val="Heading1"/>
      </w:pPr>
      <w:r>
        <w:t>1. Purpose and how to use this worksheet</w:t>
      </w:r>
    </w:p>
    <w:p>
      <w:pPr/>
      <w:r>
        <w:rPr>
          <w:b w:val="0"/>
        </w:rPr>
        <w:t>Federal rules set the floor for consent, privacy and records. State law decides several questions the SOPs cannot answer for every site: who may consent for an adult who lacks capacity, who counts as a child or guardian, how long medical records are kept, which state research laws and consent documents apply, controlled-substance and laboratory licensing, telehealth licensure, corporate practice of medicine, breach notification and mandatory reporting. The SOPs point here whenever the answer depends on the state.</w:t>
      </w:r>
    </w:p>
    <w:p>
      <w:pPr/>
      <w:r>
        <w:rPr>
          <w:b w:val="0"/>
        </w:rPr>
        <w:t xml:space="preserve">Complete one worksheet for each state where </w:t>
      </w:r>
      <w:r>
        <w:rPr>
          <w:b w:val="0"/>
          <w:highlight w:val="yellow"/>
        </w:rPr>
        <w:t>[SITE NAME]</w:t>
      </w:r>
      <w:r>
        <w:rPr>
          <w:b w:val="0"/>
        </w:rPr>
        <w:t xml:space="preserve"> has a location, and for each state where participants are seen remotely or receive home visits. Complete it with the site's counsel and confirm the research answers with the IRB of record. Central IRBs often publish a state-law summary; ask for it, but record the site's own answer and the source.</w:t>
      </w:r>
    </w:p>
    <w:p>
      <w:pPr/>
      <w:r>
        <w:rPr>
          <w:b w:val="0"/>
        </w:rPr>
        <w:t>Rules for completing the worksheet:</w:t>
      </w:r>
    </w:p>
    <w:p>
      <w:pPr>
        <w:pStyle w:val="ListBullet"/>
        <w:spacing w:after="40"/>
        <w:ind w:left="360" w:hanging="259"/>
      </w:pPr>
      <w:r>
        <w:rPr>
          <w:b w:val="0"/>
        </w:rPr>
        <w:t xml:space="preserve">Write the answer in plain words in the </w:t>
      </w:r>
      <w:r>
        <w:rPr>
          <w:b/>
        </w:rPr>
        <w:t>State answer</w:t>
      </w:r>
      <w:r>
        <w:rPr>
          <w:b w:val="0"/>
        </w:rPr>
        <w:t xml:space="preserve"> column. If the answer is "no state law; follow the IRB," write that.</w:t>
      </w:r>
    </w:p>
    <w:p>
      <w:pPr>
        <w:pStyle w:val="ListBullet"/>
        <w:spacing w:after="40"/>
        <w:ind w:left="360" w:hanging="259"/>
      </w:pPr>
      <w:r>
        <w:rPr>
          <w:b w:val="0"/>
        </w:rPr>
        <w:t xml:space="preserve">Cite the statute, regulation or IRB policy section in the </w:t>
      </w:r>
      <w:r>
        <w:rPr>
          <w:b/>
        </w:rPr>
        <w:t>Statute/source</w:t>
      </w:r>
      <w:r>
        <w:rPr>
          <w:b w:val="0"/>
        </w:rPr>
        <w:t xml:space="preserve"> column. If counsel gave the answer without a citation, write "Counsel opinion" and the date.</w:t>
      </w:r>
    </w:p>
    <w:p>
      <w:pPr>
        <w:pStyle w:val="ListBullet"/>
        <w:spacing w:after="40"/>
        <w:ind w:left="360" w:hanging="259"/>
      </w:pPr>
      <w:r>
        <w:rPr>
          <w:b w:val="0"/>
        </w:rPr>
        <w:t xml:space="preserve">Initial and date each row in the </w:t>
      </w:r>
      <w:r>
        <w:rPr>
          <w:b/>
        </w:rPr>
        <w:t>Reviewed by/date</w:t>
      </w:r>
      <w:r>
        <w:rPr>
          <w:b w:val="0"/>
        </w:rPr>
        <w:t xml:space="preserve"> column.</w:t>
      </w:r>
    </w:p>
    <w:p>
      <w:pPr>
        <w:pStyle w:val="ListBullet"/>
        <w:spacing w:after="40"/>
        <w:ind w:left="360" w:hanging="259"/>
      </w:pPr>
      <w:r>
        <w:rPr>
          <w:b w:val="0"/>
        </w:rPr>
        <w:t>Where the IRB's determination is stricter than state law, follow the IRB and say so in the answer.</w:t>
      </w:r>
    </w:p>
    <w:p>
      <w:pPr>
        <w:pStyle w:val="ListBullet"/>
        <w:spacing w:after="40"/>
        <w:ind w:left="360" w:hanging="259"/>
      </w:pPr>
      <w:r>
        <w:rPr>
          <w:b w:val="0"/>
        </w:rPr>
        <w:t xml:space="preserve">The Quality Lead reviews the worksheet at least </w:t>
      </w:r>
      <w:r>
        <w:rPr>
          <w:b w:val="0"/>
          <w:highlight w:val="green"/>
        </w:rPr>
        <w:t>[DEFAULT: annually]</w:t>
      </w:r>
      <w:r>
        <w:rPr>
          <w:b w:val="0"/>
        </w:rPr>
        <w:t>, and sooner when the site adds a state, a law changes, or the IRB changes its state-law guidance. Record each review in section 4.</w:t>
      </w:r>
    </w:p>
    <w:p>
      <w:pPr>
        <w:pStyle w:val="ListBullet"/>
        <w:spacing w:after="40"/>
        <w:ind w:left="360" w:hanging="259"/>
      </w:pPr>
      <w:r>
        <w:rPr>
          <w:b w:val="0"/>
        </w:rPr>
        <w:t>The Quality Lead files the completed worksheet with the SOP master file (F-100-03) and gives a copy to everyone who obtains consent.</w:t>
      </w:r>
    </w:p>
    <w:p>
      <w:pPr/>
      <w:r>
        <w:rPr>
          <w:b w:val="0"/>
        </w:rPr>
        <w:t xml:space="preserve">Section 5 gives examples for California, Maryland and New York. They show the level of detail expected. They are illustrative only. </w:t>
      </w:r>
      <w:r>
        <w:rPr>
          <w:b/>
        </w:rPr>
        <w:t>Verify before relying</w:t>
      </w:r>
      <w:r>
        <w:rPr>
          <w:b w:val="0"/>
        </w:rPr>
        <w:t xml:space="preserve"> on any of them.</w:t>
      </w:r>
    </w:p>
    <w:p>
      <w:pPr>
        <w:pStyle w:val="Heading1"/>
      </w:pPr>
      <w:r>
        <w:t>2. State identification</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spacing w:after="0"/>
            </w:pPr>
            <w:r>
              <w:rPr>
                <w:b/>
                <w:sz w:val="19"/>
              </w:rPr>
              <w:t>Item</w:t>
            </w:r>
          </w:p>
        </w:tc>
        <w:tc>
          <w:tcPr>
            <w:tcW w:type="dxa" w:w="6946"/>
            <w:shd w:val="clear" w:color="auto" w:fill="D9E2F3"/>
          </w:tcPr>
          <w:p>
            <w:pPr>
              <w:spacing w:after="0"/>
            </w:pPr>
            <w:r>
              <w:rPr>
                <w:b/>
                <w:sz w:val="19"/>
              </w:rPr>
              <w:t>Entry</w:t>
            </w:r>
          </w:p>
        </w:tc>
      </w:tr>
      <w:tr>
        <w:trPr>
          <w:cantSplit w:val="true"/>
        </w:trPr>
        <w:tc>
          <w:tcPr>
            <w:tcW w:type="dxa" w:w="2701"/>
          </w:tcPr>
          <w:p>
            <w:pPr>
              <w:spacing w:after="0"/>
            </w:pPr>
            <w:r>
              <w:rPr>
                <w:b w:val="0"/>
                <w:sz w:val="19"/>
              </w:rPr>
              <w:t>State</w:t>
            </w:r>
          </w:p>
        </w:tc>
        <w:tc>
          <w:tcPr>
            <w:tcW w:type="dxa" w:w="6946"/>
          </w:tcPr>
          <w:p>
            <w:pPr>
              <w:spacing w:after="0"/>
            </w:pPr>
            <w:r>
              <w:rPr>
                <w:b w:val="0"/>
                <w:sz w:val="19"/>
                <w:highlight w:val="yellow"/>
              </w:rPr>
              <w:t>[STATE]</w:t>
            </w:r>
          </w:p>
        </w:tc>
      </w:tr>
      <w:tr>
        <w:trPr>
          <w:cantSplit w:val="true"/>
        </w:trPr>
        <w:tc>
          <w:tcPr>
            <w:tcW w:type="dxa" w:w="2701"/>
          </w:tcPr>
          <w:p>
            <w:pPr>
              <w:spacing w:after="0"/>
            </w:pPr>
            <w:r>
              <w:rPr>
                <w:b w:val="0"/>
                <w:sz w:val="19"/>
              </w:rPr>
              <w:t>Site locations in this state</w:t>
            </w:r>
          </w:p>
        </w:tc>
        <w:tc>
          <w:tcPr>
            <w:tcW w:type="dxa" w:w="6946"/>
          </w:tcPr>
          <w:p>
            <w:pPr>
              <w:spacing w:after="0"/>
            </w:pPr>
            <w:r>
              <w:rPr>
                <w:b w:val="0"/>
                <w:sz w:val="19"/>
                <w:highlight w:val="yellow"/>
              </w:rPr>
              <w:t>[ADDRESSES]</w:t>
            </w:r>
          </w:p>
        </w:tc>
      </w:tr>
      <w:tr>
        <w:trPr>
          <w:cantSplit w:val="true"/>
          <w:trHeight w:val="432"/>
        </w:trPr>
        <w:tc>
          <w:tcPr>
            <w:tcW w:type="dxa" w:w="2701"/>
          </w:tcPr>
          <w:p>
            <w:pPr>
              <w:spacing w:after="0"/>
            </w:pPr>
            <w:r>
              <w:rPr>
                <w:b w:val="0"/>
                <w:sz w:val="19"/>
              </w:rPr>
              <w:t>Remote or home visits into this state (Yes/No)</w:t>
            </w:r>
          </w:p>
        </w:tc>
        <w:tc>
          <w:tcPr>
            <w:tcW w:type="dxa" w:w="6946"/>
          </w:tcPr>
          <w:p>
            <w:pPr>
              <w:spacing w:after="0"/>
            </w:pPr>
          </w:p>
        </w:tc>
      </w:tr>
      <w:tr>
        <w:trPr>
          <w:cantSplit w:val="true"/>
        </w:trPr>
        <w:tc>
          <w:tcPr>
            <w:tcW w:type="dxa" w:w="2701"/>
          </w:tcPr>
          <w:p>
            <w:pPr>
              <w:spacing w:after="0"/>
            </w:pPr>
            <w:r>
              <w:rPr>
                <w:b w:val="0"/>
                <w:sz w:val="19"/>
              </w:rPr>
              <w:t>IRB(s) of record</w:t>
            </w:r>
          </w:p>
        </w:tc>
        <w:tc>
          <w:tcPr>
            <w:tcW w:type="dxa" w:w="6946"/>
          </w:tcPr>
          <w:p>
            <w:pPr>
              <w:spacing w:after="0"/>
            </w:pPr>
            <w:r>
              <w:rPr>
                <w:b w:val="0"/>
                <w:sz w:val="19"/>
                <w:highlight w:val="yellow"/>
              </w:rPr>
              <w:t>[CENTRAL IRB NAME]</w:t>
            </w:r>
          </w:p>
        </w:tc>
      </w:tr>
      <w:tr>
        <w:trPr>
          <w:cantSplit w:val="true"/>
          <w:trHeight w:val="432"/>
        </w:trPr>
        <w:tc>
          <w:tcPr>
            <w:tcW w:type="dxa" w:w="2701"/>
          </w:tcPr>
          <w:p>
            <w:pPr>
              <w:spacing w:after="0"/>
            </w:pPr>
            <w:r>
              <w:rPr>
                <w:b w:val="0"/>
                <w:sz w:val="19"/>
              </w:rPr>
              <w:t>IRB state-law guidance obtained (title and date)</w:t>
            </w:r>
          </w:p>
        </w:tc>
        <w:tc>
          <w:tcPr>
            <w:tcW w:type="dxa" w:w="6946"/>
          </w:tcPr>
          <w:p>
            <w:pPr>
              <w:spacing w:after="0"/>
            </w:pPr>
          </w:p>
        </w:tc>
      </w:tr>
      <w:tr>
        <w:trPr>
          <w:cantSplit w:val="true"/>
        </w:trPr>
        <w:tc>
          <w:tcPr>
            <w:tcW w:type="dxa" w:w="2701"/>
          </w:tcPr>
          <w:p>
            <w:pPr>
              <w:spacing w:after="0"/>
            </w:pPr>
            <w:r>
              <w:rPr>
                <w:b w:val="0"/>
                <w:sz w:val="19"/>
              </w:rPr>
              <w:t>Counsel consulted (name and date)</w:t>
            </w:r>
          </w:p>
        </w:tc>
        <w:tc>
          <w:tcPr>
            <w:tcW w:type="dxa" w:w="6946"/>
          </w:tcPr>
          <w:p>
            <w:pPr>
              <w:spacing w:after="0"/>
            </w:pPr>
            <w:r>
              <w:rPr>
                <w:b w:val="0"/>
                <w:sz w:val="19"/>
                <w:highlight w:val="yellow"/>
              </w:rPr>
              <w:t>[LEGAL COUNSEL]</w:t>
            </w:r>
          </w:p>
        </w:tc>
      </w:tr>
      <w:tr>
        <w:trPr>
          <w:cantSplit w:val="true"/>
        </w:trPr>
        <w:tc>
          <w:tcPr>
            <w:tcW w:type="dxa" w:w="2701"/>
          </w:tcPr>
          <w:p>
            <w:pPr>
              <w:spacing w:after="0"/>
            </w:pPr>
            <w:r>
              <w:rPr>
                <w:b w:val="0"/>
                <w:sz w:val="19"/>
              </w:rPr>
              <w:t>Worksheet completed by</w:t>
            </w:r>
          </w:p>
        </w:tc>
        <w:tc>
          <w:tcPr>
            <w:tcW w:type="dxa" w:w="6946"/>
          </w:tcPr>
          <w:p>
            <w:pPr>
              <w:spacing w:after="0"/>
            </w:pPr>
            <w:r>
              <w:rPr>
                <w:b w:val="0"/>
                <w:sz w:val="19"/>
                <w:highlight w:val="yellow"/>
              </w:rPr>
              <w:t>[QUALITY LEAD]</w:t>
            </w:r>
          </w:p>
        </w:tc>
      </w:tr>
      <w:tr>
        <w:trPr>
          <w:cantSplit w:val="true"/>
          <w:trHeight w:val="432"/>
        </w:trPr>
        <w:tc>
          <w:tcPr>
            <w:tcW w:type="dxa" w:w="2701"/>
          </w:tcPr>
          <w:p>
            <w:pPr>
              <w:spacing w:after="0"/>
            </w:pPr>
            <w:r>
              <w:rPr>
                <w:b w:val="0"/>
                <w:sz w:val="19"/>
              </w:rPr>
              <w:t>Date completed</w:t>
            </w:r>
          </w:p>
        </w:tc>
        <w:tc>
          <w:tcPr>
            <w:tcW w:type="dxa" w:w="6946"/>
          </w:tcPr>
          <w:p>
            <w:pPr>
              <w:spacing w:after="0"/>
            </w:pPr>
          </w:p>
        </w:tc>
      </w:tr>
    </w:tbl>
    <w:p>
      <w:pPr>
        <w:spacing w:after="40"/>
      </w:pPr>
    </w:p>
    <w:p>
      <w:pPr>
        <w:pStyle w:val="Heading1"/>
      </w:pPr>
      <w:r>
        <w:t>3. Worksheet</w:t>
      </w:r>
    </w:p>
    <w:p>
      <w:pPr>
        <w:pStyle w:val="Heading2"/>
      </w:pPr>
      <w:r>
        <w:t>3.1 Age of majority</w:t>
      </w:r>
    </w:p>
    <w:p>
      <w:pPr/>
      <w:r>
        <w:rPr>
          <w:b w:val="0"/>
        </w:rPr>
        <w:t>Most states set the age of majority at 18. Some set a different age for specific purposes. Under 21 CFR 50.3(o), a "child" for FDA-regulated research is a person who has not reached the legal age for consent to the treatments or procedures in the clinical investigation under the law of the place where the research is conducted. Record the general age and any exception.</w:t>
      </w:r>
    </w:p>
    <w:tbl>
      <w:tblPr>
        <w:tblStyle w:val="TableGrid"/>
        <w:tblW w:type="auto" w:w="0"/>
        <w:jc w:val="left"/>
        <w:tblLayout w:type="fixed"/>
        <w:tblLook w:firstColumn="1" w:firstRow="1" w:lastColumn="0" w:lastRow="0" w:noHBand="0" w:noVBand="1" w:val="04A0"/>
      </w:tblPr>
      <w:tblGrid>
        <w:gridCol w:w="2776"/>
        <w:gridCol w:w="2290"/>
        <w:gridCol w:w="2290"/>
        <w:gridCol w:w="2290"/>
      </w:tblGrid>
      <w:tr>
        <w:trPr>
          <w:tblHeader w:val="true"/>
        </w:trPr>
        <w:tc>
          <w:tcPr>
            <w:tcW w:type="dxa" w:w="2776"/>
            <w:shd w:val="clear" w:color="auto" w:fill="D9E2F3"/>
          </w:tcPr>
          <w:p>
            <w:pPr>
              <w:keepNext/>
              <w:spacing w:after="0"/>
            </w:pPr>
            <w:r>
              <w:rPr>
                <w:b/>
                <w:sz w:val="19"/>
              </w:rPr>
              <w:t>Topic</w:t>
            </w:r>
          </w:p>
        </w:tc>
        <w:tc>
          <w:tcPr>
            <w:tcW w:type="dxa" w:w="2290"/>
            <w:shd w:val="clear" w:color="auto" w:fill="D9E2F3"/>
          </w:tcPr>
          <w:p>
            <w:pPr>
              <w:keepNext/>
              <w:spacing w:after="0"/>
            </w:pPr>
            <w:r>
              <w:rPr>
                <w:b/>
                <w:sz w:val="19"/>
              </w:rPr>
              <w:t>State answer</w:t>
            </w:r>
          </w:p>
        </w:tc>
        <w:tc>
          <w:tcPr>
            <w:tcW w:type="dxa" w:w="2290"/>
            <w:shd w:val="clear" w:color="auto" w:fill="D9E2F3"/>
          </w:tcPr>
          <w:p>
            <w:pPr>
              <w:keepNext/>
              <w:spacing w:after="0"/>
            </w:pPr>
            <w:r>
              <w:rPr>
                <w:b/>
                <w:sz w:val="19"/>
              </w:rPr>
              <w:t>Statute/source</w:t>
            </w:r>
          </w:p>
        </w:tc>
        <w:tc>
          <w:tcPr>
            <w:tcW w:type="dxa" w:w="2290"/>
            <w:shd w:val="clear" w:color="auto" w:fill="D9E2F3"/>
          </w:tcPr>
          <w:p>
            <w:pPr>
              <w:keepNext/>
              <w:spacing w:after="0"/>
            </w:pPr>
            <w:r>
              <w:rPr>
                <w:b/>
                <w:sz w:val="19"/>
              </w:rPr>
              <w:t>Reviewed by/date</w:t>
            </w:r>
          </w:p>
        </w:tc>
      </w:tr>
      <w:tr>
        <w:trPr>
          <w:cantSplit w:val="true"/>
          <w:trHeight w:val="432"/>
        </w:trPr>
        <w:tc>
          <w:tcPr>
            <w:tcW w:type="dxa" w:w="2776"/>
          </w:tcPr>
          <w:p>
            <w:pPr>
              <w:keepNext/>
              <w:spacing w:after="0"/>
            </w:pPr>
            <w:r>
              <w:rPr>
                <w:b w:val="0"/>
                <w:sz w:val="19"/>
              </w:rPr>
              <w:t>Age of majority</w:t>
            </w:r>
          </w:p>
        </w:tc>
        <w:tc>
          <w:tcPr>
            <w:tcW w:type="dxa" w:w="2290"/>
          </w:tcPr>
          <w:p>
            <w:pPr>
              <w:keepNext/>
              <w:spacing w:after="0"/>
            </w:pPr>
          </w:p>
        </w:tc>
        <w:tc>
          <w:tcPr>
            <w:tcW w:type="dxa" w:w="2290"/>
          </w:tcPr>
          <w:p>
            <w:pPr>
              <w:keepNext/>
              <w:spacing w:after="0"/>
            </w:pPr>
          </w:p>
        </w:tc>
        <w:tc>
          <w:tcPr>
            <w:tcW w:type="dxa" w:w="2290"/>
          </w:tcPr>
          <w:p>
            <w:pPr>
              <w:keepNext/>
              <w:spacing w:after="0"/>
            </w:pPr>
          </w:p>
        </w:tc>
      </w:tr>
      <w:tr>
        <w:trPr>
          <w:cantSplit w:val="true"/>
          <w:trHeight w:val="432"/>
        </w:trPr>
        <w:tc>
          <w:tcPr>
            <w:tcW w:type="dxa" w:w="2776"/>
          </w:tcPr>
          <w:p>
            <w:pPr>
              <w:spacing w:after="0"/>
            </w:pPr>
            <w:r>
              <w:rPr>
                <w:b w:val="0"/>
                <w:sz w:val="19"/>
              </w:rPr>
              <w:t>Exceptions that change who is a "child" for study procedures</w:t>
            </w:r>
          </w:p>
        </w:tc>
        <w:tc>
          <w:tcPr>
            <w:tcW w:type="dxa" w:w="2290"/>
          </w:tcPr>
          <w:p>
            <w:pPr>
              <w:spacing w:after="0"/>
            </w:pPr>
          </w:p>
        </w:tc>
        <w:tc>
          <w:tcPr>
            <w:tcW w:type="dxa" w:w="2290"/>
          </w:tcPr>
          <w:p>
            <w:pPr>
              <w:spacing w:after="0"/>
            </w:pPr>
          </w:p>
        </w:tc>
        <w:tc>
          <w:tcPr>
            <w:tcW w:type="dxa" w:w="2290"/>
          </w:tcPr>
          <w:p>
            <w:pPr>
              <w:spacing w:after="0"/>
            </w:pPr>
          </w:p>
        </w:tc>
      </w:tr>
    </w:tbl>
    <w:p>
      <w:pPr>
        <w:spacing w:after="40"/>
      </w:pPr>
    </w:p>
    <w:p>
      <w:pPr>
        <w:pStyle w:val="Heading2"/>
      </w:pPr>
      <w:r>
        <w:t>3.2 Legally authorized representative (LAR) for research</w:t>
      </w:r>
    </w:p>
    <w:p>
      <w:pPr/>
      <w:r>
        <w:rPr>
          <w:b w:val="0"/>
        </w:rPr>
        <w:t>An LAR is a person authorized under applicable law to consent on behalf of a prospective participant to participation in the research (21 CFR 50.3(l)). Federal rules do not say who that is; state law does. The answer for research is often different from the answer for treatment. List the people who may serve, in priority order, and say what to do when two people at the same level disagree.</w:t>
      </w:r>
    </w:p>
    <w:tbl>
      <w:tblPr>
        <w:tblStyle w:val="TableGrid"/>
        <w:tblW w:type="auto" w:w="0"/>
        <w:jc w:val="left"/>
        <w:tblLayout w:type="fixed"/>
        <w:tblLook w:firstColumn="1" w:firstRow="1" w:lastColumn="0" w:lastRow="0" w:noHBand="0" w:noVBand="1" w:val="04A0"/>
      </w:tblPr>
      <w:tblGrid>
        <w:gridCol w:w="4385"/>
        <w:gridCol w:w="1754"/>
        <w:gridCol w:w="1754"/>
        <w:gridCol w:w="1754"/>
      </w:tblGrid>
      <w:tr>
        <w:trPr>
          <w:tblHeader w:val="true"/>
        </w:trPr>
        <w:tc>
          <w:tcPr>
            <w:tcW w:type="dxa" w:w="4385"/>
            <w:shd w:val="clear" w:color="auto" w:fill="D9E2F3"/>
          </w:tcPr>
          <w:p>
            <w:pPr>
              <w:spacing w:after="0"/>
            </w:pPr>
            <w:r>
              <w:rPr>
                <w:b/>
                <w:sz w:val="19"/>
              </w:rPr>
              <w:t>Topic</w:t>
            </w:r>
          </w:p>
        </w:tc>
        <w:tc>
          <w:tcPr>
            <w:tcW w:type="dxa" w:w="1754"/>
            <w:shd w:val="clear" w:color="auto" w:fill="D9E2F3"/>
          </w:tcPr>
          <w:p>
            <w:pPr>
              <w:spacing w:after="0"/>
            </w:pPr>
            <w:r>
              <w:rPr>
                <w:b/>
                <w:sz w:val="19"/>
              </w:rPr>
              <w:t>State answer</w:t>
            </w:r>
          </w:p>
        </w:tc>
        <w:tc>
          <w:tcPr>
            <w:tcW w:type="dxa" w:w="1754"/>
            <w:shd w:val="clear" w:color="auto" w:fill="D9E2F3"/>
          </w:tcPr>
          <w:p>
            <w:pPr>
              <w:spacing w:after="0"/>
            </w:pPr>
            <w:r>
              <w:rPr>
                <w:b/>
                <w:sz w:val="19"/>
              </w:rPr>
              <w:t>Statute/source</w:t>
            </w:r>
          </w:p>
        </w:tc>
        <w:tc>
          <w:tcPr>
            <w:tcW w:type="dxa" w:w="1754"/>
            <w:shd w:val="clear" w:color="auto" w:fill="D9E2F3"/>
          </w:tcPr>
          <w:p>
            <w:pPr>
              <w:spacing w:after="0"/>
            </w:pPr>
            <w:r>
              <w:rPr>
                <w:b/>
                <w:sz w:val="19"/>
              </w:rPr>
              <w:t>Reviewed by/date</w:t>
            </w:r>
          </w:p>
        </w:tc>
      </w:tr>
      <w:tr>
        <w:trPr>
          <w:cantSplit w:val="true"/>
          <w:trHeight w:val="432"/>
        </w:trPr>
        <w:tc>
          <w:tcPr>
            <w:tcW w:type="dxa" w:w="4385"/>
          </w:tcPr>
          <w:p>
            <w:pPr>
              <w:spacing w:after="0"/>
            </w:pPr>
            <w:r>
              <w:rPr>
                <w:b w:val="0"/>
                <w:sz w:val="19"/>
              </w:rPr>
              <w:t>Is there a statute naming who may consent to research for an adult who lacks capacity?</w:t>
            </w:r>
          </w:p>
        </w:tc>
        <w:tc>
          <w:tcPr>
            <w:tcW w:type="dxa" w:w="1754"/>
          </w:tcPr>
          <w:p>
            <w:pPr>
              <w:spacing w:after="0"/>
            </w:pPr>
          </w:p>
        </w:tc>
        <w:tc>
          <w:tcPr>
            <w:tcW w:type="dxa" w:w="1754"/>
          </w:tcPr>
          <w:p>
            <w:pPr>
              <w:spacing w:after="0"/>
            </w:pPr>
          </w:p>
        </w:tc>
        <w:tc>
          <w:tcPr>
            <w:tcW w:type="dxa" w:w="1754"/>
          </w:tcPr>
          <w:p>
            <w:pPr>
              <w:spacing w:after="0"/>
            </w:pPr>
          </w:p>
        </w:tc>
      </w:tr>
      <w:tr>
        <w:trPr>
          <w:cantSplit w:val="true"/>
          <w:trHeight w:val="432"/>
        </w:trPr>
        <w:tc>
          <w:tcPr>
            <w:tcW w:type="dxa" w:w="4385"/>
          </w:tcPr>
          <w:p>
            <w:pPr>
              <w:spacing w:after="0"/>
            </w:pPr>
            <w:r>
              <w:rPr>
                <w:b w:val="0"/>
                <w:sz w:val="19"/>
              </w:rPr>
              <w:t>LAR priority order for research (list in order)</w:t>
            </w:r>
          </w:p>
        </w:tc>
        <w:tc>
          <w:tcPr>
            <w:tcW w:type="dxa" w:w="1754"/>
          </w:tcPr>
          <w:p>
            <w:pPr>
              <w:spacing w:after="0"/>
            </w:pPr>
          </w:p>
        </w:tc>
        <w:tc>
          <w:tcPr>
            <w:tcW w:type="dxa" w:w="1754"/>
          </w:tcPr>
          <w:p>
            <w:pPr>
              <w:spacing w:after="0"/>
            </w:pPr>
          </w:p>
        </w:tc>
        <w:tc>
          <w:tcPr>
            <w:tcW w:type="dxa" w:w="1754"/>
          </w:tcPr>
          <w:p>
            <w:pPr>
              <w:spacing w:after="0"/>
            </w:pPr>
          </w:p>
        </w:tc>
      </w:tr>
      <w:tr>
        <w:trPr>
          <w:cantSplit w:val="true"/>
          <w:trHeight w:val="432"/>
        </w:trPr>
        <w:tc>
          <w:tcPr>
            <w:tcW w:type="dxa" w:w="4385"/>
          </w:tcPr>
          <w:p>
            <w:pPr>
              <w:spacing w:after="0"/>
            </w:pPr>
            <w:r>
              <w:rPr>
                <w:b w:val="0"/>
                <w:sz w:val="19"/>
              </w:rPr>
              <w:t>Conditions on surrogate research consent (for example study type, risk level, IRB approval)</w:t>
            </w:r>
          </w:p>
        </w:tc>
        <w:tc>
          <w:tcPr>
            <w:tcW w:type="dxa" w:w="1754"/>
          </w:tcPr>
          <w:p>
            <w:pPr>
              <w:spacing w:after="0"/>
            </w:pPr>
          </w:p>
        </w:tc>
        <w:tc>
          <w:tcPr>
            <w:tcW w:type="dxa" w:w="1754"/>
          </w:tcPr>
          <w:p>
            <w:pPr>
              <w:spacing w:after="0"/>
            </w:pPr>
          </w:p>
        </w:tc>
        <w:tc>
          <w:tcPr>
            <w:tcW w:type="dxa" w:w="1754"/>
          </w:tcPr>
          <w:p>
            <w:pPr>
              <w:spacing w:after="0"/>
            </w:pPr>
          </w:p>
        </w:tc>
      </w:tr>
      <w:tr>
        <w:trPr>
          <w:cantSplit w:val="true"/>
          <w:trHeight w:val="432"/>
        </w:trPr>
        <w:tc>
          <w:tcPr>
            <w:tcW w:type="dxa" w:w="4385"/>
          </w:tcPr>
          <w:p>
            <w:pPr>
              <w:spacing w:after="0"/>
            </w:pPr>
            <w:r>
              <w:rPr>
                <w:b w:val="0"/>
                <w:sz w:val="19"/>
              </w:rPr>
              <w:t>Rule when surrogates at the same level disagree</w:t>
            </w:r>
          </w:p>
        </w:tc>
        <w:tc>
          <w:tcPr>
            <w:tcW w:type="dxa" w:w="1754"/>
          </w:tcPr>
          <w:p>
            <w:pPr>
              <w:spacing w:after="0"/>
            </w:pPr>
          </w:p>
        </w:tc>
        <w:tc>
          <w:tcPr>
            <w:tcW w:type="dxa" w:w="1754"/>
          </w:tcPr>
          <w:p>
            <w:pPr>
              <w:spacing w:after="0"/>
            </w:pPr>
          </w:p>
        </w:tc>
        <w:tc>
          <w:tcPr>
            <w:tcW w:type="dxa" w:w="1754"/>
          </w:tcPr>
          <w:p>
            <w:pPr>
              <w:spacing w:after="0"/>
            </w:pPr>
          </w:p>
        </w:tc>
      </w:tr>
      <w:tr>
        <w:trPr>
          <w:cantSplit w:val="true"/>
          <w:trHeight w:val="432"/>
        </w:trPr>
        <w:tc>
          <w:tcPr>
            <w:tcW w:type="dxa" w:w="4385"/>
          </w:tcPr>
          <w:p>
            <w:pPr>
              <w:spacing w:after="0"/>
            </w:pPr>
            <w:r>
              <w:rPr>
                <w:b w:val="0"/>
                <w:sz w:val="19"/>
              </w:rPr>
              <w:t>Court-appointed guardian: authority to consent to research (any court approval needed?)</w:t>
            </w:r>
          </w:p>
        </w:tc>
        <w:tc>
          <w:tcPr>
            <w:tcW w:type="dxa" w:w="1754"/>
          </w:tcPr>
          <w:p>
            <w:pPr>
              <w:spacing w:after="0"/>
            </w:pPr>
          </w:p>
        </w:tc>
        <w:tc>
          <w:tcPr>
            <w:tcW w:type="dxa" w:w="1754"/>
          </w:tcPr>
          <w:p>
            <w:pPr>
              <w:spacing w:after="0"/>
            </w:pPr>
          </w:p>
        </w:tc>
        <w:tc>
          <w:tcPr>
            <w:tcW w:type="dxa" w:w="1754"/>
          </w:tcPr>
          <w:p>
            <w:pPr>
              <w:spacing w:after="0"/>
            </w:pPr>
          </w:p>
        </w:tc>
      </w:tr>
      <w:tr>
        <w:trPr>
          <w:cantSplit w:val="true"/>
          <w:trHeight w:val="432"/>
        </w:trPr>
        <w:tc>
          <w:tcPr>
            <w:tcW w:type="dxa" w:w="4385"/>
          </w:tcPr>
          <w:p>
            <w:pPr>
              <w:spacing w:after="0"/>
            </w:pPr>
            <w:r>
              <w:rPr>
                <w:b w:val="0"/>
                <w:sz w:val="19"/>
              </w:rPr>
              <w:t>Health care agent under an advance directive: authority to consent to research</w:t>
            </w:r>
          </w:p>
        </w:tc>
        <w:tc>
          <w:tcPr>
            <w:tcW w:type="dxa" w:w="1754"/>
          </w:tcPr>
          <w:p>
            <w:pPr>
              <w:spacing w:after="0"/>
            </w:pPr>
          </w:p>
        </w:tc>
        <w:tc>
          <w:tcPr>
            <w:tcW w:type="dxa" w:w="1754"/>
          </w:tcPr>
          <w:p>
            <w:pPr>
              <w:spacing w:after="0"/>
            </w:pPr>
          </w:p>
        </w:tc>
        <w:tc>
          <w:tcPr>
            <w:tcW w:type="dxa" w:w="1754"/>
          </w:tcPr>
          <w:p>
            <w:pPr>
              <w:spacing w:after="0"/>
            </w:pPr>
          </w:p>
        </w:tc>
      </w:tr>
      <w:tr>
        <w:trPr>
          <w:cantSplit w:val="true"/>
          <w:trHeight w:val="432"/>
        </w:trPr>
        <w:tc>
          <w:tcPr>
            <w:tcW w:type="dxa" w:w="4385"/>
          </w:tcPr>
          <w:p>
            <w:pPr>
              <w:spacing w:after="0"/>
            </w:pPr>
            <w:r>
              <w:rPr>
                <w:b w:val="0"/>
                <w:sz w:val="19"/>
              </w:rPr>
              <w:t>IRB of record's position on LARs in this state</w:t>
            </w:r>
          </w:p>
        </w:tc>
        <w:tc>
          <w:tcPr>
            <w:tcW w:type="dxa" w:w="1754"/>
          </w:tcPr>
          <w:p>
            <w:pPr>
              <w:spacing w:after="0"/>
            </w:pPr>
          </w:p>
        </w:tc>
        <w:tc>
          <w:tcPr>
            <w:tcW w:type="dxa" w:w="1754"/>
          </w:tcPr>
          <w:p>
            <w:pPr>
              <w:spacing w:after="0"/>
            </w:pPr>
          </w:p>
        </w:tc>
        <w:tc>
          <w:tcPr>
            <w:tcW w:type="dxa" w:w="1754"/>
          </w:tcPr>
          <w:p>
            <w:pPr>
              <w:spacing w:after="0"/>
            </w:pPr>
          </w:p>
        </w:tc>
      </w:tr>
      <w:tr>
        <w:trPr>
          <w:cantSplit w:val="true"/>
          <w:trHeight w:val="432"/>
        </w:trPr>
        <w:tc>
          <w:tcPr>
            <w:tcW w:type="dxa" w:w="4385"/>
          </w:tcPr>
          <w:p>
            <w:pPr>
              <w:spacing w:after="0"/>
            </w:pPr>
            <w:r>
              <w:rPr>
                <w:b w:val="0"/>
                <w:sz w:val="19"/>
              </w:rPr>
              <w:t>Remote consent with the participant or LAR located in this state while the site is in another state: which state's law the IRB applies</w:t>
            </w:r>
          </w:p>
        </w:tc>
        <w:tc>
          <w:tcPr>
            <w:tcW w:type="dxa" w:w="1754"/>
          </w:tcPr>
          <w:p>
            <w:pPr>
              <w:spacing w:after="0"/>
            </w:pPr>
          </w:p>
        </w:tc>
        <w:tc>
          <w:tcPr>
            <w:tcW w:type="dxa" w:w="1754"/>
          </w:tcPr>
          <w:p>
            <w:pPr>
              <w:spacing w:after="0"/>
            </w:pPr>
          </w:p>
        </w:tc>
        <w:tc>
          <w:tcPr>
            <w:tcW w:type="dxa" w:w="1754"/>
          </w:tcPr>
          <w:p>
            <w:pPr>
              <w:spacing w:after="0"/>
            </w:pPr>
          </w:p>
        </w:tc>
      </w:tr>
    </w:tbl>
    <w:p>
      <w:pPr>
        <w:spacing w:after="40"/>
      </w:pPr>
    </w:p>
    <w:p>
      <w:pPr>
        <w:pStyle w:val="Heading2"/>
      </w:pPr>
      <w:r>
        <w:t>3.3 Surrogate or health care consent statute and research</w:t>
      </w:r>
    </w:p>
    <w:p>
      <w:pPr/>
      <w:r>
        <w:rPr>
          <w:b w:val="0"/>
        </w:rPr>
        <w:t>Many states have a "family consent" or surrogate statute for treatment decisions. Some extend it to research; many are silent. If the statute is silent, the site does not assume it covers research. Record the IRB's and counsel's position.</w:t>
      </w:r>
    </w:p>
    <w:tbl>
      <w:tblPr>
        <w:tblStyle w:val="TableGrid"/>
        <w:tblW w:type="auto" w:w="0"/>
        <w:jc w:val="left"/>
        <w:tblLayout w:type="fixed"/>
        <w:tblLook w:firstColumn="1" w:firstRow="1" w:lastColumn="0" w:lastRow="0" w:noHBand="0" w:noVBand="1" w:val="04A0"/>
      </w:tblPr>
      <w:tblGrid>
        <w:gridCol w:w="4074"/>
        <w:gridCol w:w="1857"/>
        <w:gridCol w:w="1857"/>
        <w:gridCol w:w="1857"/>
      </w:tblGrid>
      <w:tr>
        <w:trPr>
          <w:tblHeader w:val="true"/>
        </w:trPr>
        <w:tc>
          <w:tcPr>
            <w:tcW w:type="dxa" w:w="4074"/>
            <w:shd w:val="clear" w:color="auto" w:fill="D9E2F3"/>
          </w:tcPr>
          <w:p>
            <w:pPr>
              <w:keepNext/>
              <w:spacing w:after="0"/>
            </w:pPr>
            <w:r>
              <w:rPr>
                <w:b/>
                <w:sz w:val="19"/>
              </w:rPr>
              <w:t>Topic</w:t>
            </w:r>
          </w:p>
        </w:tc>
        <w:tc>
          <w:tcPr>
            <w:tcW w:type="dxa" w:w="1857"/>
            <w:shd w:val="clear" w:color="auto" w:fill="D9E2F3"/>
          </w:tcPr>
          <w:p>
            <w:pPr>
              <w:keepNext/>
              <w:spacing w:after="0"/>
            </w:pPr>
            <w:r>
              <w:rPr>
                <w:b/>
                <w:sz w:val="19"/>
              </w:rPr>
              <w:t>State answer</w:t>
            </w:r>
          </w:p>
        </w:tc>
        <w:tc>
          <w:tcPr>
            <w:tcW w:type="dxa" w:w="1857"/>
            <w:shd w:val="clear" w:color="auto" w:fill="D9E2F3"/>
          </w:tcPr>
          <w:p>
            <w:pPr>
              <w:keepNext/>
              <w:spacing w:after="0"/>
            </w:pPr>
            <w:r>
              <w:rPr>
                <w:b/>
                <w:sz w:val="19"/>
              </w:rPr>
              <w:t>Statute/source</w:t>
            </w:r>
          </w:p>
        </w:tc>
        <w:tc>
          <w:tcPr>
            <w:tcW w:type="dxa" w:w="1857"/>
            <w:shd w:val="clear" w:color="auto" w:fill="D9E2F3"/>
          </w:tcPr>
          <w:p>
            <w:pPr>
              <w:keepNext/>
              <w:spacing w:after="0"/>
            </w:pPr>
            <w:r>
              <w:rPr>
                <w:b/>
                <w:sz w:val="19"/>
              </w:rPr>
              <w:t>Reviewed by/date</w:t>
            </w:r>
          </w:p>
        </w:tc>
      </w:tr>
      <w:tr>
        <w:trPr>
          <w:cantSplit w:val="true"/>
          <w:trHeight w:val="432"/>
        </w:trPr>
        <w:tc>
          <w:tcPr>
            <w:tcW w:type="dxa" w:w="4074"/>
          </w:tcPr>
          <w:p>
            <w:pPr>
              <w:keepNext/>
              <w:spacing w:after="0"/>
            </w:pPr>
            <w:r>
              <w:rPr>
                <w:b w:val="0"/>
                <w:sz w:val="19"/>
              </w:rPr>
              <w:t>Name and citation of the state surrogate or health care decisions statute</w:t>
            </w:r>
          </w:p>
        </w:tc>
        <w:tc>
          <w:tcPr>
            <w:tcW w:type="dxa" w:w="1857"/>
          </w:tcPr>
          <w:p>
            <w:pPr>
              <w:keepNext/>
              <w:spacing w:after="0"/>
            </w:pPr>
          </w:p>
        </w:tc>
        <w:tc>
          <w:tcPr>
            <w:tcW w:type="dxa" w:w="1857"/>
          </w:tcPr>
          <w:p>
            <w:pPr>
              <w:keepNext/>
              <w:spacing w:after="0"/>
            </w:pPr>
          </w:p>
        </w:tc>
        <w:tc>
          <w:tcPr>
            <w:tcW w:type="dxa" w:w="1857"/>
          </w:tcPr>
          <w:p>
            <w:pPr>
              <w:keepNext/>
              <w:spacing w:after="0"/>
            </w:pPr>
          </w:p>
        </w:tc>
      </w:tr>
      <w:tr>
        <w:trPr>
          <w:cantSplit w:val="true"/>
          <w:trHeight w:val="432"/>
        </w:trPr>
        <w:tc>
          <w:tcPr>
            <w:tcW w:type="dxa" w:w="4074"/>
          </w:tcPr>
          <w:p>
            <w:pPr>
              <w:keepNext/>
              <w:spacing w:after="0"/>
            </w:pPr>
            <w:r>
              <w:rPr>
                <w:b w:val="0"/>
                <w:sz w:val="19"/>
              </w:rPr>
              <w:t>Does it expressly extend to research? (Yes / No / Silent)</w:t>
            </w:r>
          </w:p>
        </w:tc>
        <w:tc>
          <w:tcPr>
            <w:tcW w:type="dxa" w:w="1857"/>
          </w:tcPr>
          <w:p>
            <w:pPr>
              <w:keepNext/>
              <w:spacing w:after="0"/>
            </w:pPr>
          </w:p>
        </w:tc>
        <w:tc>
          <w:tcPr>
            <w:tcW w:type="dxa" w:w="1857"/>
          </w:tcPr>
          <w:p>
            <w:pPr>
              <w:keepNext/>
              <w:spacing w:after="0"/>
            </w:pPr>
          </w:p>
        </w:tc>
        <w:tc>
          <w:tcPr>
            <w:tcW w:type="dxa" w:w="1857"/>
          </w:tcPr>
          <w:p>
            <w:pPr>
              <w:keepNext/>
              <w:spacing w:after="0"/>
            </w:pPr>
          </w:p>
        </w:tc>
      </w:tr>
      <w:tr>
        <w:trPr>
          <w:cantSplit w:val="true"/>
          <w:trHeight w:val="432"/>
        </w:trPr>
        <w:tc>
          <w:tcPr>
            <w:tcW w:type="dxa" w:w="4074"/>
          </w:tcPr>
          <w:p>
            <w:pPr>
              <w:spacing w:after="0"/>
            </w:pPr>
            <w:r>
              <w:rPr>
                <w:b w:val="0"/>
                <w:sz w:val="19"/>
              </w:rPr>
              <w:t>If silent, does the IRB or counsel accept it for research?</w:t>
            </w:r>
          </w:p>
        </w:tc>
        <w:tc>
          <w:tcPr>
            <w:tcW w:type="dxa" w:w="1857"/>
          </w:tcPr>
          <w:p>
            <w:pPr>
              <w:spacing w:after="0"/>
            </w:pPr>
          </w:p>
        </w:tc>
        <w:tc>
          <w:tcPr>
            <w:tcW w:type="dxa" w:w="1857"/>
          </w:tcPr>
          <w:p>
            <w:pPr>
              <w:spacing w:after="0"/>
            </w:pPr>
          </w:p>
        </w:tc>
        <w:tc>
          <w:tcPr>
            <w:tcW w:type="dxa" w:w="1857"/>
          </w:tcPr>
          <w:p>
            <w:pPr>
              <w:spacing w:after="0"/>
            </w:pPr>
          </w:p>
        </w:tc>
      </w:tr>
    </w:tbl>
    <w:p>
      <w:pPr>
        <w:spacing w:after="40"/>
      </w:pPr>
    </w:p>
    <w:p>
      <w:pPr>
        <w:pStyle w:val="Heading2"/>
      </w:pPr>
      <w:r>
        <w:t>3.4 Minors who may consent for themselves</w:t>
      </w:r>
    </w:p>
    <w:p>
      <w:pPr/>
      <w:r>
        <w:rPr>
          <w:b w:val="0"/>
        </w:rPr>
        <w:t>State "minor consent" laws (for example for pregnancy care, sexually transmitted infection, substance use or mental health treatment) apply to treatment. They do not, on their own, allow a minor to consent to research. A minor consents alone for research only when the IRB has approved it for that study under 21 CFR 50 Subpart D and state law. The usual answer here is "none, unless the IRB approves for a specific study."</w:t>
      </w:r>
    </w:p>
    <w:tbl>
      <w:tblPr>
        <w:tblStyle w:val="TableGrid"/>
        <w:tblW w:type="auto" w:w="0"/>
        <w:jc w:val="left"/>
        <w:tblLayout w:type="fixed"/>
        <w:tblLook w:firstColumn="1" w:firstRow="1" w:lastColumn="0" w:lastRow="0" w:noHBand="0" w:noVBand="1" w:val="04A0"/>
      </w:tblPr>
      <w:tblGrid>
        <w:gridCol w:w="4385"/>
        <w:gridCol w:w="1754"/>
        <w:gridCol w:w="1754"/>
        <w:gridCol w:w="1754"/>
      </w:tblGrid>
      <w:tr>
        <w:trPr>
          <w:tblHeader w:val="true"/>
        </w:trPr>
        <w:tc>
          <w:tcPr>
            <w:tcW w:type="dxa" w:w="4385"/>
            <w:shd w:val="clear" w:color="auto" w:fill="D9E2F3"/>
          </w:tcPr>
          <w:p>
            <w:pPr>
              <w:keepNext/>
              <w:spacing w:after="0"/>
            </w:pPr>
            <w:r>
              <w:rPr>
                <w:b/>
                <w:sz w:val="19"/>
              </w:rPr>
              <w:t>Topic</w:t>
            </w:r>
          </w:p>
        </w:tc>
        <w:tc>
          <w:tcPr>
            <w:tcW w:type="dxa" w:w="1754"/>
            <w:shd w:val="clear" w:color="auto" w:fill="D9E2F3"/>
          </w:tcPr>
          <w:p>
            <w:pPr>
              <w:keepNext/>
              <w:spacing w:after="0"/>
            </w:pPr>
            <w:r>
              <w:rPr>
                <w:b/>
                <w:sz w:val="19"/>
              </w:rPr>
              <w:t>State answer</w:t>
            </w:r>
          </w:p>
        </w:tc>
        <w:tc>
          <w:tcPr>
            <w:tcW w:type="dxa" w:w="1754"/>
            <w:shd w:val="clear" w:color="auto" w:fill="D9E2F3"/>
          </w:tcPr>
          <w:p>
            <w:pPr>
              <w:keepNext/>
              <w:spacing w:after="0"/>
            </w:pPr>
            <w:r>
              <w:rPr>
                <w:b/>
                <w:sz w:val="19"/>
              </w:rPr>
              <w:t>Statute/source</w:t>
            </w:r>
          </w:p>
        </w:tc>
        <w:tc>
          <w:tcPr>
            <w:tcW w:type="dxa" w:w="1754"/>
            <w:shd w:val="clear" w:color="auto" w:fill="D9E2F3"/>
          </w:tcPr>
          <w:p>
            <w:pPr>
              <w:keepNext/>
              <w:spacing w:after="0"/>
            </w:pPr>
            <w:r>
              <w:rPr>
                <w:b/>
                <w:sz w:val="19"/>
              </w:rPr>
              <w:t>Reviewed by/date</w:t>
            </w:r>
          </w:p>
        </w:tc>
      </w:tr>
      <w:tr>
        <w:trPr>
          <w:cantSplit w:val="true"/>
          <w:trHeight w:val="432"/>
        </w:trPr>
        <w:tc>
          <w:tcPr>
            <w:tcW w:type="dxa" w:w="4385"/>
          </w:tcPr>
          <w:p>
            <w:pPr>
              <w:keepNext/>
              <w:spacing w:after="0"/>
            </w:pPr>
            <w:r>
              <w:rPr>
                <w:b w:val="0"/>
                <w:sz w:val="19"/>
              </w:rPr>
              <w:t>Minors who may consent to research without a parent (usually none without IRB approval)</w:t>
            </w:r>
          </w:p>
        </w:tc>
        <w:tc>
          <w:tcPr>
            <w:tcW w:type="dxa" w:w="1754"/>
          </w:tcPr>
          <w:p>
            <w:pPr>
              <w:keepNext/>
              <w:spacing w:after="0"/>
            </w:pPr>
          </w:p>
        </w:tc>
        <w:tc>
          <w:tcPr>
            <w:tcW w:type="dxa" w:w="1754"/>
          </w:tcPr>
          <w:p>
            <w:pPr>
              <w:keepNext/>
              <w:spacing w:after="0"/>
            </w:pPr>
          </w:p>
        </w:tc>
        <w:tc>
          <w:tcPr>
            <w:tcW w:type="dxa" w:w="1754"/>
          </w:tcPr>
          <w:p>
            <w:pPr>
              <w:keepNext/>
              <w:spacing w:after="0"/>
            </w:pPr>
          </w:p>
        </w:tc>
      </w:tr>
      <w:tr>
        <w:trPr>
          <w:cantSplit w:val="true"/>
          <w:trHeight w:val="432"/>
        </w:trPr>
        <w:tc>
          <w:tcPr>
            <w:tcW w:type="dxa" w:w="4385"/>
          </w:tcPr>
          <w:p>
            <w:pPr>
              <w:keepNext/>
              <w:spacing w:after="0"/>
            </w:pPr>
            <w:r>
              <w:rPr>
                <w:b w:val="0"/>
                <w:sz w:val="19"/>
              </w:rPr>
              <w:t>Treatment consent exceptions for minors (for reference only)</w:t>
            </w:r>
          </w:p>
        </w:tc>
        <w:tc>
          <w:tcPr>
            <w:tcW w:type="dxa" w:w="1754"/>
          </w:tcPr>
          <w:p>
            <w:pPr>
              <w:keepNext/>
              <w:spacing w:after="0"/>
            </w:pPr>
          </w:p>
        </w:tc>
        <w:tc>
          <w:tcPr>
            <w:tcW w:type="dxa" w:w="1754"/>
          </w:tcPr>
          <w:p>
            <w:pPr>
              <w:keepNext/>
              <w:spacing w:after="0"/>
            </w:pPr>
          </w:p>
        </w:tc>
        <w:tc>
          <w:tcPr>
            <w:tcW w:type="dxa" w:w="1754"/>
          </w:tcPr>
          <w:p>
            <w:pPr>
              <w:keepNext/>
              <w:spacing w:after="0"/>
            </w:pPr>
          </w:p>
        </w:tc>
      </w:tr>
      <w:tr>
        <w:trPr>
          <w:cantSplit w:val="true"/>
          <w:trHeight w:val="432"/>
        </w:trPr>
        <w:tc>
          <w:tcPr>
            <w:tcW w:type="dxa" w:w="4385"/>
          </w:tcPr>
          <w:p>
            <w:pPr>
              <w:keepNext/>
              <w:spacing w:after="0"/>
            </w:pPr>
            <w:r>
              <w:rPr>
                <w:b w:val="0"/>
                <w:sz w:val="19"/>
              </w:rPr>
              <w:t>Who may give parental permission (parent, guardian, other) and whether one or both parents are needed</w:t>
            </w:r>
          </w:p>
        </w:tc>
        <w:tc>
          <w:tcPr>
            <w:tcW w:type="dxa" w:w="1754"/>
          </w:tcPr>
          <w:p>
            <w:pPr>
              <w:keepNext/>
              <w:spacing w:after="0"/>
            </w:pPr>
          </w:p>
        </w:tc>
        <w:tc>
          <w:tcPr>
            <w:tcW w:type="dxa" w:w="1754"/>
          </w:tcPr>
          <w:p>
            <w:pPr>
              <w:keepNext/>
              <w:spacing w:after="0"/>
            </w:pPr>
          </w:p>
        </w:tc>
        <w:tc>
          <w:tcPr>
            <w:tcW w:type="dxa" w:w="1754"/>
          </w:tcPr>
          <w:p>
            <w:pPr>
              <w:keepNext/>
              <w:spacing w:after="0"/>
            </w:pPr>
          </w:p>
        </w:tc>
      </w:tr>
      <w:tr>
        <w:trPr>
          <w:cantSplit w:val="true"/>
          <w:trHeight w:val="432"/>
        </w:trPr>
        <w:tc>
          <w:tcPr>
            <w:tcW w:type="dxa" w:w="4385"/>
          </w:tcPr>
          <w:p>
            <w:pPr>
              <w:keepNext/>
              <w:spacing w:after="0"/>
            </w:pPr>
            <w:r>
              <w:rPr>
                <w:b w:val="0"/>
                <w:sz w:val="19"/>
              </w:rPr>
              <w:t>Who counts as a guardian: a person authorized under state or local law to consent on behalf of a child to general medical care (21 CFR 50.3(s))</w:t>
            </w:r>
          </w:p>
        </w:tc>
        <w:tc>
          <w:tcPr>
            <w:tcW w:type="dxa" w:w="1754"/>
          </w:tcPr>
          <w:p>
            <w:pPr>
              <w:keepNext/>
              <w:spacing w:after="0"/>
            </w:pPr>
          </w:p>
        </w:tc>
        <w:tc>
          <w:tcPr>
            <w:tcW w:type="dxa" w:w="1754"/>
          </w:tcPr>
          <w:p>
            <w:pPr>
              <w:keepNext/>
              <w:spacing w:after="0"/>
            </w:pPr>
          </w:p>
        </w:tc>
        <w:tc>
          <w:tcPr>
            <w:tcW w:type="dxa" w:w="1754"/>
          </w:tcPr>
          <w:p>
            <w:pPr>
              <w:keepNext/>
              <w:spacing w:after="0"/>
            </w:pPr>
          </w:p>
        </w:tc>
      </w:tr>
      <w:tr>
        <w:trPr>
          <w:cantSplit w:val="true"/>
          <w:trHeight w:val="432"/>
        </w:trPr>
        <w:tc>
          <w:tcPr>
            <w:tcW w:type="dxa" w:w="4385"/>
          </w:tcPr>
          <w:p>
            <w:pPr>
              <w:spacing w:after="0"/>
            </w:pPr>
            <w:r>
              <w:rPr>
                <w:b w:val="0"/>
                <w:sz w:val="19"/>
              </w:rPr>
              <w:t>Children who are wards of the state or an agency: who may give permission and any court or agency approval needed (21 CFR 50.56)</w:t>
            </w:r>
          </w:p>
        </w:tc>
        <w:tc>
          <w:tcPr>
            <w:tcW w:type="dxa" w:w="1754"/>
          </w:tcPr>
          <w:p>
            <w:pPr>
              <w:spacing w:after="0"/>
            </w:pPr>
          </w:p>
        </w:tc>
        <w:tc>
          <w:tcPr>
            <w:tcW w:type="dxa" w:w="1754"/>
          </w:tcPr>
          <w:p>
            <w:pPr>
              <w:spacing w:after="0"/>
            </w:pPr>
          </w:p>
        </w:tc>
        <w:tc>
          <w:tcPr>
            <w:tcW w:type="dxa" w:w="1754"/>
          </w:tcPr>
          <w:p>
            <w:pPr>
              <w:spacing w:after="0"/>
            </w:pPr>
          </w:p>
        </w:tc>
      </w:tr>
    </w:tbl>
    <w:p>
      <w:pPr>
        <w:spacing w:after="40"/>
      </w:pPr>
    </w:p>
    <w:p>
      <w:pPr>
        <w:pStyle w:val="Heading2"/>
      </w:pPr>
      <w:r>
        <w:t>3.5 Emancipated and mature minors</w:t>
      </w:r>
    </w:p>
    <w:p>
      <w:pPr/>
      <w:r>
        <w:rPr>
          <w:b w:val="0"/>
        </w:rPr>
        <w:t>Emancipation rules differ by state: by court order, by marriage, by military service, or by statute for specific purposes. Record how an emancipated minor is treated for consent to the study procedures, and what proof staff must see and file.</w:t>
      </w:r>
    </w:p>
    <w:tbl>
      <w:tblPr>
        <w:tblStyle w:val="TableGrid"/>
        <w:tblW w:type="auto" w:w="0"/>
        <w:jc w:val="left"/>
        <w:tblLayout w:type="fixed"/>
        <w:tblLook w:firstColumn="1" w:firstRow="1" w:lastColumn="0" w:lastRow="0" w:noHBand="0" w:noVBand="1" w:val="04A0"/>
      </w:tblPr>
      <w:tblGrid>
        <w:gridCol w:w="3560"/>
        <w:gridCol w:w="2029"/>
        <w:gridCol w:w="2029"/>
        <w:gridCol w:w="2029"/>
      </w:tblGrid>
      <w:tr>
        <w:trPr>
          <w:tblHeader w:val="true"/>
        </w:trPr>
        <w:tc>
          <w:tcPr>
            <w:tcW w:type="dxa" w:w="3560"/>
            <w:shd w:val="clear" w:color="auto" w:fill="D9E2F3"/>
          </w:tcPr>
          <w:p>
            <w:pPr>
              <w:keepNext/>
              <w:spacing w:after="0"/>
            </w:pPr>
            <w:r>
              <w:rPr>
                <w:b/>
                <w:sz w:val="19"/>
              </w:rPr>
              <w:t>Topic</w:t>
            </w:r>
          </w:p>
        </w:tc>
        <w:tc>
          <w:tcPr>
            <w:tcW w:type="dxa" w:w="2029"/>
            <w:shd w:val="clear" w:color="auto" w:fill="D9E2F3"/>
          </w:tcPr>
          <w:p>
            <w:pPr>
              <w:keepNext/>
              <w:spacing w:after="0"/>
            </w:pPr>
            <w:r>
              <w:rPr>
                <w:b/>
                <w:sz w:val="19"/>
              </w:rPr>
              <w:t>State answer</w:t>
            </w:r>
          </w:p>
        </w:tc>
        <w:tc>
          <w:tcPr>
            <w:tcW w:type="dxa" w:w="2029"/>
            <w:shd w:val="clear" w:color="auto" w:fill="D9E2F3"/>
          </w:tcPr>
          <w:p>
            <w:pPr>
              <w:keepNext/>
              <w:spacing w:after="0"/>
            </w:pPr>
            <w:r>
              <w:rPr>
                <w:b/>
                <w:sz w:val="19"/>
              </w:rPr>
              <w:t>Statute/source</w:t>
            </w:r>
          </w:p>
        </w:tc>
        <w:tc>
          <w:tcPr>
            <w:tcW w:type="dxa" w:w="2029"/>
            <w:shd w:val="clear" w:color="auto" w:fill="D9E2F3"/>
          </w:tcPr>
          <w:p>
            <w:pPr>
              <w:keepNext/>
              <w:spacing w:after="0"/>
            </w:pPr>
            <w:r>
              <w:rPr>
                <w:b/>
                <w:sz w:val="19"/>
              </w:rPr>
              <w:t>Reviewed by/date</w:t>
            </w:r>
          </w:p>
        </w:tc>
      </w:tr>
      <w:tr>
        <w:trPr>
          <w:cantSplit w:val="true"/>
          <w:trHeight w:val="432"/>
        </w:trPr>
        <w:tc>
          <w:tcPr>
            <w:tcW w:type="dxa" w:w="3560"/>
          </w:tcPr>
          <w:p>
            <w:pPr>
              <w:keepNext/>
              <w:spacing w:after="0"/>
            </w:pPr>
            <w:r>
              <w:rPr>
                <w:b w:val="0"/>
                <w:sz w:val="19"/>
              </w:rPr>
              <w:t>How a minor becomes emancipated</w:t>
            </w:r>
          </w:p>
        </w:tc>
        <w:tc>
          <w:tcPr>
            <w:tcW w:type="dxa" w:w="2029"/>
          </w:tcPr>
          <w:p>
            <w:pPr>
              <w:keepNext/>
              <w:spacing w:after="0"/>
            </w:pPr>
          </w:p>
        </w:tc>
        <w:tc>
          <w:tcPr>
            <w:tcW w:type="dxa" w:w="2029"/>
          </w:tcPr>
          <w:p>
            <w:pPr>
              <w:keepNext/>
              <w:spacing w:after="0"/>
            </w:pPr>
          </w:p>
        </w:tc>
        <w:tc>
          <w:tcPr>
            <w:tcW w:type="dxa" w:w="2029"/>
          </w:tcPr>
          <w:p>
            <w:pPr>
              <w:keepNext/>
              <w:spacing w:after="0"/>
            </w:pPr>
          </w:p>
        </w:tc>
      </w:tr>
      <w:tr>
        <w:trPr>
          <w:cantSplit w:val="true"/>
          <w:trHeight w:val="432"/>
        </w:trPr>
        <w:tc>
          <w:tcPr>
            <w:tcW w:type="dxa" w:w="3560"/>
          </w:tcPr>
          <w:p>
            <w:pPr>
              <w:keepNext/>
              <w:spacing w:after="0"/>
            </w:pPr>
            <w:r>
              <w:rPr>
                <w:b w:val="0"/>
                <w:sz w:val="19"/>
              </w:rPr>
              <w:t>Emancipated minor may consent to study procedures as an adult?</w:t>
            </w:r>
          </w:p>
        </w:tc>
        <w:tc>
          <w:tcPr>
            <w:tcW w:type="dxa" w:w="2029"/>
          </w:tcPr>
          <w:p>
            <w:pPr>
              <w:keepNext/>
              <w:spacing w:after="0"/>
            </w:pPr>
          </w:p>
        </w:tc>
        <w:tc>
          <w:tcPr>
            <w:tcW w:type="dxa" w:w="2029"/>
          </w:tcPr>
          <w:p>
            <w:pPr>
              <w:keepNext/>
              <w:spacing w:after="0"/>
            </w:pPr>
          </w:p>
        </w:tc>
        <w:tc>
          <w:tcPr>
            <w:tcW w:type="dxa" w:w="2029"/>
          </w:tcPr>
          <w:p>
            <w:pPr>
              <w:keepNext/>
              <w:spacing w:after="0"/>
            </w:pPr>
          </w:p>
        </w:tc>
      </w:tr>
      <w:tr>
        <w:trPr>
          <w:cantSplit w:val="true"/>
          <w:trHeight w:val="432"/>
        </w:trPr>
        <w:tc>
          <w:tcPr>
            <w:tcW w:type="dxa" w:w="3560"/>
          </w:tcPr>
          <w:p>
            <w:pPr>
              <w:keepNext/>
              <w:spacing w:after="0"/>
            </w:pPr>
            <w:r>
              <w:rPr>
                <w:b w:val="0"/>
                <w:sz w:val="19"/>
              </w:rPr>
              <w:t>Proof required (for example court order, marriage certificate)</w:t>
            </w:r>
          </w:p>
        </w:tc>
        <w:tc>
          <w:tcPr>
            <w:tcW w:type="dxa" w:w="2029"/>
          </w:tcPr>
          <w:p>
            <w:pPr>
              <w:keepNext/>
              <w:spacing w:after="0"/>
            </w:pPr>
          </w:p>
        </w:tc>
        <w:tc>
          <w:tcPr>
            <w:tcW w:type="dxa" w:w="2029"/>
          </w:tcPr>
          <w:p>
            <w:pPr>
              <w:keepNext/>
              <w:spacing w:after="0"/>
            </w:pPr>
          </w:p>
        </w:tc>
        <w:tc>
          <w:tcPr>
            <w:tcW w:type="dxa" w:w="2029"/>
          </w:tcPr>
          <w:p>
            <w:pPr>
              <w:keepNext/>
              <w:spacing w:after="0"/>
            </w:pPr>
          </w:p>
        </w:tc>
      </w:tr>
      <w:tr>
        <w:trPr>
          <w:cantSplit w:val="true"/>
          <w:trHeight w:val="432"/>
        </w:trPr>
        <w:tc>
          <w:tcPr>
            <w:tcW w:type="dxa" w:w="3560"/>
          </w:tcPr>
          <w:p>
            <w:pPr>
              <w:spacing w:after="0"/>
            </w:pPr>
            <w:r>
              <w:rPr>
                <w:b w:val="0"/>
                <w:sz w:val="19"/>
              </w:rPr>
              <w:t>Mature minor doctrine recognized?</w:t>
            </w:r>
          </w:p>
        </w:tc>
        <w:tc>
          <w:tcPr>
            <w:tcW w:type="dxa" w:w="2029"/>
          </w:tcPr>
          <w:p>
            <w:pPr>
              <w:spacing w:after="0"/>
            </w:pPr>
          </w:p>
        </w:tc>
        <w:tc>
          <w:tcPr>
            <w:tcW w:type="dxa" w:w="2029"/>
          </w:tcPr>
          <w:p>
            <w:pPr>
              <w:spacing w:after="0"/>
            </w:pPr>
          </w:p>
        </w:tc>
        <w:tc>
          <w:tcPr>
            <w:tcW w:type="dxa" w:w="2029"/>
          </w:tcPr>
          <w:p>
            <w:pPr>
              <w:spacing w:after="0"/>
            </w:pPr>
          </w:p>
        </w:tc>
      </w:tr>
    </w:tbl>
    <w:p>
      <w:pPr>
        <w:spacing w:after="40"/>
      </w:pPr>
    </w:p>
    <w:p>
      <w:pPr>
        <w:pStyle w:val="Heading2"/>
      </w:pPr>
      <w:r>
        <w:t>3.6 State research-specific laws</w:t>
      </w:r>
    </w:p>
    <w:p>
      <w:pPr/>
      <w:r>
        <w:rPr>
          <w:b w:val="0"/>
        </w:rPr>
        <w:t>A few states have their own human research statutes. They may add consent documents (California's Experimental Subject's Bill of Rights), apply the Common Rule to research that federal law does not cover (Maryland), or cover research not subject to federal regulation (New York). Record each law, what it requires of the site, and whether the IRB applies it.</w:t>
      </w:r>
    </w:p>
    <w:tbl>
      <w:tblPr>
        <w:tblStyle w:val="TableGrid"/>
        <w:tblW w:type="auto" w:w="0"/>
        <w:jc w:val="left"/>
        <w:tblLayout w:type="fixed"/>
        <w:tblLook w:firstColumn="1" w:firstRow="1" w:lastColumn="0" w:lastRow="0" w:noHBand="0" w:noVBand="1" w:val="04A0"/>
      </w:tblPr>
      <w:tblGrid>
        <w:gridCol w:w="3674"/>
        <w:gridCol w:w="1991"/>
        <w:gridCol w:w="1991"/>
        <w:gridCol w:w="1991"/>
      </w:tblGrid>
      <w:tr>
        <w:trPr>
          <w:tblHeader w:val="true"/>
        </w:trPr>
        <w:tc>
          <w:tcPr>
            <w:tcW w:type="dxa" w:w="3674"/>
            <w:shd w:val="clear" w:color="auto" w:fill="D9E2F3"/>
          </w:tcPr>
          <w:p>
            <w:pPr>
              <w:keepNext/>
              <w:spacing w:after="0"/>
            </w:pPr>
            <w:r>
              <w:rPr>
                <w:b/>
                <w:sz w:val="19"/>
              </w:rPr>
              <w:t>Topic</w:t>
            </w:r>
          </w:p>
        </w:tc>
        <w:tc>
          <w:tcPr>
            <w:tcW w:type="dxa" w:w="1991"/>
            <w:shd w:val="clear" w:color="auto" w:fill="D9E2F3"/>
          </w:tcPr>
          <w:p>
            <w:pPr>
              <w:keepNext/>
              <w:spacing w:after="0"/>
            </w:pPr>
            <w:r>
              <w:rPr>
                <w:b/>
                <w:sz w:val="19"/>
              </w:rPr>
              <w:t>State answer</w:t>
            </w:r>
          </w:p>
        </w:tc>
        <w:tc>
          <w:tcPr>
            <w:tcW w:type="dxa" w:w="1991"/>
            <w:shd w:val="clear" w:color="auto" w:fill="D9E2F3"/>
          </w:tcPr>
          <w:p>
            <w:pPr>
              <w:keepNext/>
              <w:spacing w:after="0"/>
            </w:pPr>
            <w:r>
              <w:rPr>
                <w:b/>
                <w:sz w:val="19"/>
              </w:rPr>
              <w:t>Statute/source</w:t>
            </w:r>
          </w:p>
        </w:tc>
        <w:tc>
          <w:tcPr>
            <w:tcW w:type="dxa" w:w="1991"/>
            <w:shd w:val="clear" w:color="auto" w:fill="D9E2F3"/>
          </w:tcPr>
          <w:p>
            <w:pPr>
              <w:keepNext/>
              <w:spacing w:after="0"/>
            </w:pPr>
            <w:r>
              <w:rPr>
                <w:b/>
                <w:sz w:val="19"/>
              </w:rPr>
              <w:t>Reviewed by/date</w:t>
            </w:r>
          </w:p>
        </w:tc>
      </w:tr>
      <w:tr>
        <w:trPr>
          <w:cantSplit w:val="true"/>
          <w:trHeight w:val="432"/>
        </w:trPr>
        <w:tc>
          <w:tcPr>
            <w:tcW w:type="dxa" w:w="3674"/>
          </w:tcPr>
          <w:p>
            <w:pPr>
              <w:keepNext/>
              <w:spacing w:after="0"/>
            </w:pPr>
            <w:r>
              <w:rPr>
                <w:b w:val="0"/>
                <w:sz w:val="19"/>
              </w:rPr>
              <w:t>State human research statute (name and citation)</w:t>
            </w:r>
          </w:p>
        </w:tc>
        <w:tc>
          <w:tcPr>
            <w:tcW w:type="dxa" w:w="1991"/>
          </w:tcPr>
          <w:p>
            <w:pPr>
              <w:keepNext/>
              <w:spacing w:after="0"/>
            </w:pPr>
          </w:p>
        </w:tc>
        <w:tc>
          <w:tcPr>
            <w:tcW w:type="dxa" w:w="1991"/>
          </w:tcPr>
          <w:p>
            <w:pPr>
              <w:keepNext/>
              <w:spacing w:after="0"/>
            </w:pPr>
          </w:p>
        </w:tc>
        <w:tc>
          <w:tcPr>
            <w:tcW w:type="dxa" w:w="1991"/>
          </w:tcPr>
          <w:p>
            <w:pPr>
              <w:keepNext/>
              <w:spacing w:after="0"/>
            </w:pPr>
          </w:p>
        </w:tc>
      </w:tr>
      <w:tr>
        <w:trPr>
          <w:cantSplit w:val="true"/>
          <w:trHeight w:val="432"/>
        </w:trPr>
        <w:tc>
          <w:tcPr>
            <w:tcW w:type="dxa" w:w="3674"/>
          </w:tcPr>
          <w:p>
            <w:pPr>
              <w:keepNext/>
              <w:spacing w:after="0"/>
            </w:pPr>
            <w:r>
              <w:rPr>
                <w:b w:val="0"/>
                <w:sz w:val="19"/>
              </w:rPr>
              <w:t>Does it apply to FDA-regulated industry trials at this site?</w:t>
            </w:r>
          </w:p>
        </w:tc>
        <w:tc>
          <w:tcPr>
            <w:tcW w:type="dxa" w:w="1991"/>
          </w:tcPr>
          <w:p>
            <w:pPr>
              <w:keepNext/>
              <w:spacing w:after="0"/>
            </w:pPr>
          </w:p>
        </w:tc>
        <w:tc>
          <w:tcPr>
            <w:tcW w:type="dxa" w:w="1991"/>
          </w:tcPr>
          <w:p>
            <w:pPr>
              <w:keepNext/>
              <w:spacing w:after="0"/>
            </w:pPr>
          </w:p>
        </w:tc>
        <w:tc>
          <w:tcPr>
            <w:tcW w:type="dxa" w:w="1991"/>
          </w:tcPr>
          <w:p>
            <w:pPr>
              <w:keepNext/>
              <w:spacing w:after="0"/>
            </w:pPr>
          </w:p>
        </w:tc>
      </w:tr>
      <w:tr>
        <w:trPr>
          <w:cantSplit w:val="true"/>
          <w:trHeight w:val="432"/>
        </w:trPr>
        <w:tc>
          <w:tcPr>
            <w:tcW w:type="dxa" w:w="3674"/>
          </w:tcPr>
          <w:p>
            <w:pPr>
              <w:keepNext/>
              <w:spacing w:after="0"/>
            </w:pPr>
            <w:r>
              <w:rPr>
                <w:b w:val="0"/>
                <w:sz w:val="19"/>
              </w:rPr>
              <w:t>Extra documents or consent elements required</w:t>
            </w:r>
          </w:p>
        </w:tc>
        <w:tc>
          <w:tcPr>
            <w:tcW w:type="dxa" w:w="1991"/>
          </w:tcPr>
          <w:p>
            <w:pPr>
              <w:keepNext/>
              <w:spacing w:after="0"/>
            </w:pPr>
          </w:p>
        </w:tc>
        <w:tc>
          <w:tcPr>
            <w:tcW w:type="dxa" w:w="1991"/>
          </w:tcPr>
          <w:p>
            <w:pPr>
              <w:keepNext/>
              <w:spacing w:after="0"/>
            </w:pPr>
          </w:p>
        </w:tc>
        <w:tc>
          <w:tcPr>
            <w:tcW w:type="dxa" w:w="1991"/>
          </w:tcPr>
          <w:p>
            <w:pPr>
              <w:keepNext/>
              <w:spacing w:after="0"/>
            </w:pPr>
          </w:p>
        </w:tc>
      </w:tr>
      <w:tr>
        <w:trPr>
          <w:cantSplit w:val="true"/>
          <w:trHeight w:val="432"/>
        </w:trPr>
        <w:tc>
          <w:tcPr>
            <w:tcW w:type="dxa" w:w="3674"/>
          </w:tcPr>
          <w:p>
            <w:pPr>
              <w:spacing w:after="0"/>
            </w:pPr>
            <w:r>
              <w:rPr>
                <w:b w:val="0"/>
                <w:sz w:val="19"/>
              </w:rPr>
              <w:t>Does the IRB of record apply it in its review?</w:t>
            </w:r>
          </w:p>
        </w:tc>
        <w:tc>
          <w:tcPr>
            <w:tcW w:type="dxa" w:w="1991"/>
          </w:tcPr>
          <w:p>
            <w:pPr>
              <w:spacing w:after="0"/>
            </w:pPr>
          </w:p>
        </w:tc>
        <w:tc>
          <w:tcPr>
            <w:tcW w:type="dxa" w:w="1991"/>
          </w:tcPr>
          <w:p>
            <w:pPr>
              <w:spacing w:after="0"/>
            </w:pPr>
          </w:p>
        </w:tc>
        <w:tc>
          <w:tcPr>
            <w:tcW w:type="dxa" w:w="1991"/>
          </w:tcPr>
          <w:p>
            <w:pPr>
              <w:spacing w:after="0"/>
            </w:pPr>
          </w:p>
        </w:tc>
      </w:tr>
    </w:tbl>
    <w:p>
      <w:pPr>
        <w:spacing w:after="40"/>
      </w:pPr>
    </w:p>
    <w:p>
      <w:pPr>
        <w:pStyle w:val="Heading2"/>
      </w:pPr>
      <w:r>
        <w:t>3.7 Genetic testing and genetic privacy</w:t>
      </w:r>
    </w:p>
    <w:p>
      <w:pPr/>
      <w:r>
        <w:rPr>
          <w:b w:val="0"/>
        </w:rPr>
        <w:t>Some states require specific written consent for genetic tests, limit further testing of samples, or require samples to be destroyed. Record any rule that changes the consent form, specimen retention, or return of results.</w:t>
      </w:r>
    </w:p>
    <w:tbl>
      <w:tblPr>
        <w:tblStyle w:val="TableGrid"/>
        <w:tblW w:type="auto" w:w="0"/>
        <w:jc w:val="left"/>
        <w:tblLayout w:type="fixed"/>
        <w:tblLook w:firstColumn="1" w:firstRow="1" w:lastColumn="0" w:lastRow="0" w:noHBand="0" w:noVBand="1" w:val="04A0"/>
      </w:tblPr>
      <w:tblGrid>
        <w:gridCol w:w="3880"/>
        <w:gridCol w:w="1922"/>
        <w:gridCol w:w="1922"/>
        <w:gridCol w:w="1922"/>
      </w:tblGrid>
      <w:tr>
        <w:trPr>
          <w:tblHeader w:val="true"/>
        </w:trPr>
        <w:tc>
          <w:tcPr>
            <w:tcW w:type="dxa" w:w="3880"/>
            <w:shd w:val="clear" w:color="auto" w:fill="D9E2F3"/>
          </w:tcPr>
          <w:p>
            <w:pPr>
              <w:keepNext/>
              <w:spacing w:after="0"/>
            </w:pPr>
            <w:r>
              <w:rPr>
                <w:b/>
                <w:sz w:val="19"/>
              </w:rPr>
              <w:t>Topic</w:t>
            </w:r>
          </w:p>
        </w:tc>
        <w:tc>
          <w:tcPr>
            <w:tcW w:type="dxa" w:w="1922"/>
            <w:shd w:val="clear" w:color="auto" w:fill="D9E2F3"/>
          </w:tcPr>
          <w:p>
            <w:pPr>
              <w:keepNext/>
              <w:spacing w:after="0"/>
            </w:pPr>
            <w:r>
              <w:rPr>
                <w:b/>
                <w:sz w:val="19"/>
              </w:rPr>
              <w:t>State answer</w:t>
            </w:r>
          </w:p>
        </w:tc>
        <w:tc>
          <w:tcPr>
            <w:tcW w:type="dxa" w:w="1922"/>
            <w:shd w:val="clear" w:color="auto" w:fill="D9E2F3"/>
          </w:tcPr>
          <w:p>
            <w:pPr>
              <w:keepNext/>
              <w:spacing w:after="0"/>
            </w:pPr>
            <w:r>
              <w:rPr>
                <w:b/>
                <w:sz w:val="19"/>
              </w:rPr>
              <w:t>Statute/source</w:t>
            </w:r>
          </w:p>
        </w:tc>
        <w:tc>
          <w:tcPr>
            <w:tcW w:type="dxa" w:w="1922"/>
            <w:shd w:val="clear" w:color="auto" w:fill="D9E2F3"/>
          </w:tcPr>
          <w:p>
            <w:pPr>
              <w:keepNext/>
              <w:spacing w:after="0"/>
            </w:pPr>
            <w:r>
              <w:rPr>
                <w:b/>
                <w:sz w:val="19"/>
              </w:rPr>
              <w:t>Reviewed by/date</w:t>
            </w:r>
          </w:p>
        </w:tc>
      </w:tr>
      <w:tr>
        <w:trPr>
          <w:cantSplit w:val="true"/>
          <w:trHeight w:val="432"/>
        </w:trPr>
        <w:tc>
          <w:tcPr>
            <w:tcW w:type="dxa" w:w="3880"/>
          </w:tcPr>
          <w:p>
            <w:pPr>
              <w:keepNext/>
              <w:spacing w:after="0"/>
            </w:pPr>
            <w:r>
              <w:rPr>
                <w:b w:val="0"/>
                <w:sz w:val="19"/>
              </w:rPr>
              <w:t>Specific consent required for genetic testing in research?</w:t>
            </w:r>
          </w:p>
        </w:tc>
        <w:tc>
          <w:tcPr>
            <w:tcW w:type="dxa" w:w="1922"/>
          </w:tcPr>
          <w:p>
            <w:pPr>
              <w:keepNext/>
              <w:spacing w:after="0"/>
            </w:pPr>
          </w:p>
        </w:tc>
        <w:tc>
          <w:tcPr>
            <w:tcW w:type="dxa" w:w="1922"/>
          </w:tcPr>
          <w:p>
            <w:pPr>
              <w:keepNext/>
              <w:spacing w:after="0"/>
            </w:pPr>
          </w:p>
        </w:tc>
        <w:tc>
          <w:tcPr>
            <w:tcW w:type="dxa" w:w="1922"/>
          </w:tcPr>
          <w:p>
            <w:pPr>
              <w:keepNext/>
              <w:spacing w:after="0"/>
            </w:pPr>
          </w:p>
        </w:tc>
      </w:tr>
      <w:tr>
        <w:trPr>
          <w:cantSplit w:val="true"/>
          <w:trHeight w:val="432"/>
        </w:trPr>
        <w:tc>
          <w:tcPr>
            <w:tcW w:type="dxa" w:w="3880"/>
          </w:tcPr>
          <w:p>
            <w:pPr>
              <w:keepNext/>
              <w:spacing w:after="0"/>
            </w:pPr>
            <w:r>
              <w:rPr>
                <w:b w:val="0"/>
                <w:sz w:val="19"/>
              </w:rPr>
              <w:t>Limits on retention or further use of samples</w:t>
            </w:r>
          </w:p>
        </w:tc>
        <w:tc>
          <w:tcPr>
            <w:tcW w:type="dxa" w:w="1922"/>
          </w:tcPr>
          <w:p>
            <w:pPr>
              <w:keepNext/>
              <w:spacing w:after="0"/>
            </w:pPr>
          </w:p>
        </w:tc>
        <w:tc>
          <w:tcPr>
            <w:tcW w:type="dxa" w:w="1922"/>
          </w:tcPr>
          <w:p>
            <w:pPr>
              <w:keepNext/>
              <w:spacing w:after="0"/>
            </w:pPr>
          </w:p>
        </w:tc>
        <w:tc>
          <w:tcPr>
            <w:tcW w:type="dxa" w:w="1922"/>
          </w:tcPr>
          <w:p>
            <w:pPr>
              <w:keepNext/>
              <w:spacing w:after="0"/>
            </w:pPr>
          </w:p>
        </w:tc>
      </w:tr>
      <w:tr>
        <w:trPr>
          <w:cantSplit w:val="true"/>
          <w:trHeight w:val="432"/>
        </w:trPr>
        <w:tc>
          <w:tcPr>
            <w:tcW w:type="dxa" w:w="3880"/>
          </w:tcPr>
          <w:p>
            <w:pPr>
              <w:keepNext/>
              <w:spacing w:after="0"/>
            </w:pPr>
            <w:r>
              <w:rPr>
                <w:b w:val="0"/>
                <w:sz w:val="19"/>
              </w:rPr>
              <w:t>Limits on disclosure of genetic results</w:t>
            </w:r>
          </w:p>
        </w:tc>
        <w:tc>
          <w:tcPr>
            <w:tcW w:type="dxa" w:w="1922"/>
          </w:tcPr>
          <w:p>
            <w:pPr>
              <w:keepNext/>
              <w:spacing w:after="0"/>
            </w:pPr>
          </w:p>
        </w:tc>
        <w:tc>
          <w:tcPr>
            <w:tcW w:type="dxa" w:w="1922"/>
          </w:tcPr>
          <w:p>
            <w:pPr>
              <w:keepNext/>
              <w:spacing w:after="0"/>
            </w:pPr>
          </w:p>
        </w:tc>
        <w:tc>
          <w:tcPr>
            <w:tcW w:type="dxa" w:w="1922"/>
          </w:tcPr>
          <w:p>
            <w:pPr>
              <w:keepNext/>
              <w:spacing w:after="0"/>
            </w:pPr>
          </w:p>
        </w:tc>
      </w:tr>
      <w:tr>
        <w:trPr>
          <w:cantSplit w:val="true"/>
          <w:trHeight w:val="432"/>
        </w:trPr>
        <w:tc>
          <w:tcPr>
            <w:tcW w:type="dxa" w:w="3880"/>
          </w:tcPr>
          <w:p>
            <w:pPr>
              <w:spacing w:after="0"/>
            </w:pPr>
            <w:r>
              <w:rPr>
                <w:b w:val="0"/>
                <w:sz w:val="19"/>
              </w:rPr>
              <w:t>Genetic anti-discrimination law to mention in consent (if the IRB requires)</w:t>
            </w:r>
          </w:p>
        </w:tc>
        <w:tc>
          <w:tcPr>
            <w:tcW w:type="dxa" w:w="1922"/>
          </w:tcPr>
          <w:p>
            <w:pPr>
              <w:spacing w:after="0"/>
            </w:pPr>
          </w:p>
        </w:tc>
        <w:tc>
          <w:tcPr>
            <w:tcW w:type="dxa" w:w="1922"/>
          </w:tcPr>
          <w:p>
            <w:pPr>
              <w:spacing w:after="0"/>
            </w:pPr>
          </w:p>
        </w:tc>
        <w:tc>
          <w:tcPr>
            <w:tcW w:type="dxa" w:w="1922"/>
          </w:tcPr>
          <w:p>
            <w:pPr>
              <w:spacing w:after="0"/>
            </w:pPr>
          </w:p>
        </w:tc>
      </w:tr>
    </w:tbl>
    <w:p>
      <w:pPr>
        <w:spacing w:after="40"/>
      </w:pPr>
    </w:p>
    <w:p>
      <w:pPr>
        <w:pStyle w:val="Heading2"/>
      </w:pPr>
      <w:r>
        <w:t>3.8 Medical record retention</w:t>
      </w:r>
    </w:p>
    <w:p>
      <w:pPr/>
      <w:r>
        <w:rPr>
          <w:b w:val="0"/>
        </w:rPr>
        <w:t>Research records are kept for the longest of: the sponsor's requirement in the CTA, FDA (21 CFR 312.62(c) and 812.140(d)), HIPAA documentation rules (45 CFR 164.530(j)), and state medical record law. Study source documents that are also medical records follow the state rule if it is longer. Record adult and minor periods. SOP-402 Record Retention, Archiving and Destruction uses these answers.</w:t>
      </w:r>
    </w:p>
    <w:tbl>
      <w:tblPr>
        <w:tblStyle w:val="TableGrid"/>
        <w:tblW w:type="auto" w:w="0"/>
        <w:jc w:val="left"/>
        <w:tblLayout w:type="fixed"/>
        <w:tblLook w:firstColumn="1" w:firstRow="1" w:lastColumn="0" w:lastRow="0" w:noHBand="0" w:noVBand="1" w:val="04A0"/>
      </w:tblPr>
      <w:tblGrid>
        <w:gridCol w:w="3575"/>
        <w:gridCol w:w="2024"/>
        <w:gridCol w:w="2024"/>
        <w:gridCol w:w="2024"/>
      </w:tblGrid>
      <w:tr>
        <w:trPr>
          <w:tblHeader w:val="true"/>
        </w:trPr>
        <w:tc>
          <w:tcPr>
            <w:tcW w:type="dxa" w:w="3575"/>
            <w:shd w:val="clear" w:color="auto" w:fill="D9E2F3"/>
          </w:tcPr>
          <w:p>
            <w:pPr>
              <w:keepNext/>
              <w:spacing w:after="0"/>
            </w:pPr>
            <w:r>
              <w:rPr>
                <w:b/>
                <w:sz w:val="19"/>
              </w:rPr>
              <w:t>Topic</w:t>
            </w:r>
          </w:p>
        </w:tc>
        <w:tc>
          <w:tcPr>
            <w:tcW w:type="dxa" w:w="2024"/>
            <w:shd w:val="clear" w:color="auto" w:fill="D9E2F3"/>
          </w:tcPr>
          <w:p>
            <w:pPr>
              <w:keepNext/>
              <w:spacing w:after="0"/>
            </w:pPr>
            <w:r>
              <w:rPr>
                <w:b/>
                <w:sz w:val="19"/>
              </w:rPr>
              <w:t>State answer</w:t>
            </w:r>
          </w:p>
        </w:tc>
        <w:tc>
          <w:tcPr>
            <w:tcW w:type="dxa" w:w="2024"/>
            <w:shd w:val="clear" w:color="auto" w:fill="D9E2F3"/>
          </w:tcPr>
          <w:p>
            <w:pPr>
              <w:keepNext/>
              <w:spacing w:after="0"/>
            </w:pPr>
            <w:r>
              <w:rPr>
                <w:b/>
                <w:sz w:val="19"/>
              </w:rPr>
              <w:t>Statute/source</w:t>
            </w:r>
          </w:p>
        </w:tc>
        <w:tc>
          <w:tcPr>
            <w:tcW w:type="dxa" w:w="2024"/>
            <w:shd w:val="clear" w:color="auto" w:fill="D9E2F3"/>
          </w:tcPr>
          <w:p>
            <w:pPr>
              <w:keepNext/>
              <w:spacing w:after="0"/>
            </w:pPr>
            <w:r>
              <w:rPr>
                <w:b/>
                <w:sz w:val="19"/>
              </w:rPr>
              <w:t>Reviewed by/date</w:t>
            </w:r>
          </w:p>
        </w:tc>
      </w:tr>
      <w:tr>
        <w:trPr>
          <w:cantSplit w:val="true"/>
          <w:trHeight w:val="432"/>
        </w:trPr>
        <w:tc>
          <w:tcPr>
            <w:tcW w:type="dxa" w:w="3575"/>
          </w:tcPr>
          <w:p>
            <w:pPr>
              <w:keepNext/>
              <w:spacing w:after="0"/>
            </w:pPr>
            <w:r>
              <w:rPr>
                <w:b w:val="0"/>
                <w:sz w:val="19"/>
              </w:rPr>
              <w:t>Adult medical records: minimum retention</w:t>
            </w:r>
          </w:p>
        </w:tc>
        <w:tc>
          <w:tcPr>
            <w:tcW w:type="dxa" w:w="2024"/>
          </w:tcPr>
          <w:p>
            <w:pPr>
              <w:keepNext/>
              <w:spacing w:after="0"/>
            </w:pPr>
          </w:p>
        </w:tc>
        <w:tc>
          <w:tcPr>
            <w:tcW w:type="dxa" w:w="2024"/>
          </w:tcPr>
          <w:p>
            <w:pPr>
              <w:keepNext/>
              <w:spacing w:after="0"/>
            </w:pPr>
          </w:p>
        </w:tc>
        <w:tc>
          <w:tcPr>
            <w:tcW w:type="dxa" w:w="2024"/>
          </w:tcPr>
          <w:p>
            <w:pPr>
              <w:keepNext/>
              <w:spacing w:after="0"/>
            </w:pPr>
          </w:p>
        </w:tc>
      </w:tr>
      <w:tr>
        <w:trPr>
          <w:cantSplit w:val="true"/>
          <w:trHeight w:val="432"/>
        </w:trPr>
        <w:tc>
          <w:tcPr>
            <w:tcW w:type="dxa" w:w="3575"/>
          </w:tcPr>
          <w:p>
            <w:pPr>
              <w:keepNext/>
              <w:spacing w:after="0"/>
            </w:pPr>
            <w:r>
              <w:rPr>
                <w:b w:val="0"/>
                <w:sz w:val="19"/>
              </w:rPr>
              <w:t>Minor medical records: minimum retention</w:t>
            </w:r>
          </w:p>
        </w:tc>
        <w:tc>
          <w:tcPr>
            <w:tcW w:type="dxa" w:w="2024"/>
          </w:tcPr>
          <w:p>
            <w:pPr>
              <w:keepNext/>
              <w:spacing w:after="0"/>
            </w:pPr>
          </w:p>
        </w:tc>
        <w:tc>
          <w:tcPr>
            <w:tcW w:type="dxa" w:w="2024"/>
          </w:tcPr>
          <w:p>
            <w:pPr>
              <w:keepNext/>
              <w:spacing w:after="0"/>
            </w:pPr>
          </w:p>
        </w:tc>
        <w:tc>
          <w:tcPr>
            <w:tcW w:type="dxa" w:w="2024"/>
          </w:tcPr>
          <w:p>
            <w:pPr>
              <w:keepNext/>
              <w:spacing w:after="0"/>
            </w:pPr>
          </w:p>
        </w:tc>
      </w:tr>
      <w:tr>
        <w:trPr>
          <w:cantSplit w:val="true"/>
          <w:trHeight w:val="432"/>
        </w:trPr>
        <w:tc>
          <w:tcPr>
            <w:tcW w:type="dxa" w:w="3575"/>
          </w:tcPr>
          <w:p>
            <w:pPr>
              <w:keepNext/>
              <w:spacing w:after="0"/>
            </w:pPr>
            <w:r>
              <w:rPr>
                <w:b w:val="0"/>
                <w:sz w:val="19"/>
              </w:rPr>
              <w:t>Does the rule depend on license type (physician office, clinic, hospital)?</w:t>
            </w:r>
          </w:p>
        </w:tc>
        <w:tc>
          <w:tcPr>
            <w:tcW w:type="dxa" w:w="2024"/>
          </w:tcPr>
          <w:p>
            <w:pPr>
              <w:keepNext/>
              <w:spacing w:after="0"/>
            </w:pPr>
          </w:p>
        </w:tc>
        <w:tc>
          <w:tcPr>
            <w:tcW w:type="dxa" w:w="2024"/>
          </w:tcPr>
          <w:p>
            <w:pPr>
              <w:keepNext/>
              <w:spacing w:after="0"/>
            </w:pPr>
          </w:p>
        </w:tc>
        <w:tc>
          <w:tcPr>
            <w:tcW w:type="dxa" w:w="2024"/>
          </w:tcPr>
          <w:p>
            <w:pPr>
              <w:keepNext/>
              <w:spacing w:after="0"/>
            </w:pPr>
          </w:p>
        </w:tc>
      </w:tr>
      <w:tr>
        <w:trPr>
          <w:cantSplit w:val="true"/>
          <w:trHeight w:val="432"/>
        </w:trPr>
        <w:tc>
          <w:tcPr>
            <w:tcW w:type="dxa" w:w="3575"/>
          </w:tcPr>
          <w:p>
            <w:pPr>
              <w:keepNext/>
              <w:spacing w:after="0"/>
            </w:pPr>
            <w:r>
              <w:rPr>
                <w:b w:val="0"/>
                <w:sz w:val="19"/>
              </w:rPr>
              <w:t>Notice required before destruction?</w:t>
            </w:r>
          </w:p>
        </w:tc>
        <w:tc>
          <w:tcPr>
            <w:tcW w:type="dxa" w:w="2024"/>
          </w:tcPr>
          <w:p>
            <w:pPr>
              <w:keepNext/>
              <w:spacing w:after="0"/>
            </w:pPr>
          </w:p>
        </w:tc>
        <w:tc>
          <w:tcPr>
            <w:tcW w:type="dxa" w:w="2024"/>
          </w:tcPr>
          <w:p>
            <w:pPr>
              <w:keepNext/>
              <w:spacing w:after="0"/>
            </w:pPr>
          </w:p>
        </w:tc>
        <w:tc>
          <w:tcPr>
            <w:tcW w:type="dxa" w:w="2024"/>
          </w:tcPr>
          <w:p>
            <w:pPr>
              <w:keepNext/>
              <w:spacing w:after="0"/>
            </w:pPr>
          </w:p>
        </w:tc>
      </w:tr>
      <w:tr>
        <w:trPr>
          <w:cantSplit w:val="true"/>
          <w:trHeight w:val="432"/>
        </w:trPr>
        <w:tc>
          <w:tcPr>
            <w:tcW w:type="dxa" w:w="3575"/>
          </w:tcPr>
          <w:p>
            <w:pPr>
              <w:keepNext/>
              <w:spacing w:after="0"/>
            </w:pPr>
            <w:r>
              <w:rPr>
                <w:b w:val="0"/>
                <w:sz w:val="19"/>
              </w:rPr>
              <w:t>Duties when the practice closes</w:t>
            </w:r>
          </w:p>
        </w:tc>
        <w:tc>
          <w:tcPr>
            <w:tcW w:type="dxa" w:w="2024"/>
          </w:tcPr>
          <w:p>
            <w:pPr>
              <w:keepNext/>
              <w:spacing w:after="0"/>
            </w:pPr>
          </w:p>
        </w:tc>
        <w:tc>
          <w:tcPr>
            <w:tcW w:type="dxa" w:w="2024"/>
          </w:tcPr>
          <w:p>
            <w:pPr>
              <w:keepNext/>
              <w:spacing w:after="0"/>
            </w:pPr>
          </w:p>
        </w:tc>
        <w:tc>
          <w:tcPr>
            <w:tcW w:type="dxa" w:w="2024"/>
          </w:tcPr>
          <w:p>
            <w:pPr>
              <w:keepNext/>
              <w:spacing w:after="0"/>
            </w:pPr>
          </w:p>
        </w:tc>
      </w:tr>
      <w:tr>
        <w:trPr>
          <w:cantSplit w:val="true"/>
          <w:trHeight w:val="432"/>
        </w:trPr>
        <w:tc>
          <w:tcPr>
            <w:tcW w:type="dxa" w:w="3575"/>
          </w:tcPr>
          <w:p>
            <w:pPr>
              <w:spacing w:after="0"/>
            </w:pPr>
            <w:r>
              <w:rPr>
                <w:b w:val="0"/>
                <w:sz w:val="19"/>
              </w:rPr>
              <w:t>State rule specific to research records, if any</w:t>
            </w:r>
          </w:p>
        </w:tc>
        <w:tc>
          <w:tcPr>
            <w:tcW w:type="dxa" w:w="2024"/>
          </w:tcPr>
          <w:p>
            <w:pPr>
              <w:spacing w:after="0"/>
            </w:pPr>
          </w:p>
        </w:tc>
        <w:tc>
          <w:tcPr>
            <w:tcW w:type="dxa" w:w="2024"/>
          </w:tcPr>
          <w:p>
            <w:pPr>
              <w:spacing w:after="0"/>
            </w:pPr>
          </w:p>
        </w:tc>
        <w:tc>
          <w:tcPr>
            <w:tcW w:type="dxa" w:w="2024"/>
          </w:tcPr>
          <w:p>
            <w:pPr>
              <w:spacing w:after="0"/>
            </w:pPr>
          </w:p>
        </w:tc>
      </w:tr>
    </w:tbl>
    <w:p>
      <w:pPr>
        <w:spacing w:after="40"/>
      </w:pPr>
    </w:p>
    <w:p>
      <w:pPr>
        <w:pStyle w:val="Heading2"/>
      </w:pPr>
      <w:r>
        <w:t>3.9 Telehealth and licensure</w:t>
      </w:r>
    </w:p>
    <w:p>
      <w:pPr/>
      <w:r>
        <w:rPr>
          <w:b w:val="0"/>
        </w:rPr>
        <w:t>A clinician who sees a participant by video or phone generally must be licensed in the state where the participant is located at the time of the visit. Check whether the state belongs to a licensure compact, allows a telehealth registration, or has its own rules on telehealth prescribing. SOP-313 Decentralized Trial Elements uses these answers.</w:t>
      </w:r>
    </w:p>
    <w:tbl>
      <w:tblPr>
        <w:tblStyle w:val="TableGrid"/>
        <w:tblW w:type="auto" w:w="0"/>
        <w:jc w:val="left"/>
        <w:tblLayout w:type="fixed"/>
        <w:tblLook w:firstColumn="1" w:firstRow="1" w:lastColumn="0" w:lastRow="0" w:noHBand="0" w:noVBand="1" w:val="04A0"/>
      </w:tblPr>
      <w:tblGrid>
        <w:gridCol w:w="4385"/>
        <w:gridCol w:w="1754"/>
        <w:gridCol w:w="1754"/>
        <w:gridCol w:w="1754"/>
      </w:tblGrid>
      <w:tr>
        <w:trPr>
          <w:tblHeader w:val="true"/>
        </w:trPr>
        <w:tc>
          <w:tcPr>
            <w:tcW w:type="dxa" w:w="4385"/>
            <w:shd w:val="clear" w:color="auto" w:fill="D9E2F3"/>
          </w:tcPr>
          <w:p>
            <w:pPr>
              <w:keepNext/>
              <w:spacing w:after="0"/>
            </w:pPr>
            <w:r>
              <w:rPr>
                <w:b/>
                <w:sz w:val="19"/>
              </w:rPr>
              <w:t>Topic</w:t>
            </w:r>
          </w:p>
        </w:tc>
        <w:tc>
          <w:tcPr>
            <w:tcW w:type="dxa" w:w="1754"/>
            <w:shd w:val="clear" w:color="auto" w:fill="D9E2F3"/>
          </w:tcPr>
          <w:p>
            <w:pPr>
              <w:keepNext/>
              <w:spacing w:after="0"/>
            </w:pPr>
            <w:r>
              <w:rPr>
                <w:b/>
                <w:sz w:val="19"/>
              </w:rPr>
              <w:t>State answer</w:t>
            </w:r>
          </w:p>
        </w:tc>
        <w:tc>
          <w:tcPr>
            <w:tcW w:type="dxa" w:w="1754"/>
            <w:shd w:val="clear" w:color="auto" w:fill="D9E2F3"/>
          </w:tcPr>
          <w:p>
            <w:pPr>
              <w:keepNext/>
              <w:spacing w:after="0"/>
            </w:pPr>
            <w:r>
              <w:rPr>
                <w:b/>
                <w:sz w:val="19"/>
              </w:rPr>
              <w:t>Statute/source</w:t>
            </w:r>
          </w:p>
        </w:tc>
        <w:tc>
          <w:tcPr>
            <w:tcW w:type="dxa" w:w="1754"/>
            <w:shd w:val="clear" w:color="auto" w:fill="D9E2F3"/>
          </w:tcPr>
          <w:p>
            <w:pPr>
              <w:keepNext/>
              <w:spacing w:after="0"/>
            </w:pPr>
            <w:r>
              <w:rPr>
                <w:b/>
                <w:sz w:val="19"/>
              </w:rPr>
              <w:t>Reviewed by/date</w:t>
            </w:r>
          </w:p>
        </w:tc>
      </w:tr>
      <w:tr>
        <w:trPr>
          <w:cantSplit w:val="true"/>
          <w:trHeight w:val="432"/>
        </w:trPr>
        <w:tc>
          <w:tcPr>
            <w:tcW w:type="dxa" w:w="4385"/>
          </w:tcPr>
          <w:p>
            <w:pPr>
              <w:keepNext/>
              <w:spacing w:after="0"/>
            </w:pPr>
            <w:r>
              <w:rPr>
                <w:b w:val="0"/>
                <w:sz w:val="19"/>
              </w:rPr>
              <w:t>License required for clinicians treating participants located in this state</w:t>
            </w:r>
          </w:p>
        </w:tc>
        <w:tc>
          <w:tcPr>
            <w:tcW w:type="dxa" w:w="1754"/>
          </w:tcPr>
          <w:p>
            <w:pPr>
              <w:keepNext/>
              <w:spacing w:after="0"/>
            </w:pPr>
          </w:p>
        </w:tc>
        <w:tc>
          <w:tcPr>
            <w:tcW w:type="dxa" w:w="1754"/>
          </w:tcPr>
          <w:p>
            <w:pPr>
              <w:keepNext/>
              <w:spacing w:after="0"/>
            </w:pPr>
          </w:p>
        </w:tc>
        <w:tc>
          <w:tcPr>
            <w:tcW w:type="dxa" w:w="1754"/>
          </w:tcPr>
          <w:p>
            <w:pPr>
              <w:keepNext/>
              <w:spacing w:after="0"/>
            </w:pPr>
          </w:p>
        </w:tc>
      </w:tr>
      <w:tr>
        <w:trPr>
          <w:cantSplit w:val="true"/>
          <w:trHeight w:val="432"/>
        </w:trPr>
        <w:tc>
          <w:tcPr>
            <w:tcW w:type="dxa" w:w="4385"/>
          </w:tcPr>
          <w:p>
            <w:pPr>
              <w:keepNext/>
              <w:spacing w:after="0"/>
            </w:pPr>
            <w:r>
              <w:rPr>
                <w:b w:val="0"/>
                <w:sz w:val="19"/>
              </w:rPr>
              <w:t>Licensure compacts or telehealth registration available</w:t>
            </w:r>
          </w:p>
        </w:tc>
        <w:tc>
          <w:tcPr>
            <w:tcW w:type="dxa" w:w="1754"/>
          </w:tcPr>
          <w:p>
            <w:pPr>
              <w:keepNext/>
              <w:spacing w:after="0"/>
            </w:pPr>
          </w:p>
        </w:tc>
        <w:tc>
          <w:tcPr>
            <w:tcW w:type="dxa" w:w="1754"/>
          </w:tcPr>
          <w:p>
            <w:pPr>
              <w:keepNext/>
              <w:spacing w:after="0"/>
            </w:pPr>
          </w:p>
        </w:tc>
        <w:tc>
          <w:tcPr>
            <w:tcW w:type="dxa" w:w="1754"/>
          </w:tcPr>
          <w:p>
            <w:pPr>
              <w:keepNext/>
              <w:spacing w:after="0"/>
            </w:pPr>
          </w:p>
        </w:tc>
      </w:tr>
      <w:tr>
        <w:trPr>
          <w:cantSplit w:val="true"/>
          <w:trHeight w:val="432"/>
        </w:trPr>
        <w:tc>
          <w:tcPr>
            <w:tcW w:type="dxa" w:w="4385"/>
          </w:tcPr>
          <w:p>
            <w:pPr>
              <w:keepNext/>
              <w:spacing w:after="0"/>
            </w:pPr>
            <w:r>
              <w:rPr>
                <w:b w:val="0"/>
                <w:sz w:val="19"/>
              </w:rPr>
              <w:t>Telehealth consent or documentation rules</w:t>
            </w:r>
          </w:p>
        </w:tc>
        <w:tc>
          <w:tcPr>
            <w:tcW w:type="dxa" w:w="1754"/>
          </w:tcPr>
          <w:p>
            <w:pPr>
              <w:keepNext/>
              <w:spacing w:after="0"/>
            </w:pPr>
          </w:p>
        </w:tc>
        <w:tc>
          <w:tcPr>
            <w:tcW w:type="dxa" w:w="1754"/>
          </w:tcPr>
          <w:p>
            <w:pPr>
              <w:keepNext/>
              <w:spacing w:after="0"/>
            </w:pPr>
          </w:p>
        </w:tc>
        <w:tc>
          <w:tcPr>
            <w:tcW w:type="dxa" w:w="1754"/>
          </w:tcPr>
          <w:p>
            <w:pPr>
              <w:keepNext/>
              <w:spacing w:after="0"/>
            </w:pPr>
          </w:p>
        </w:tc>
      </w:tr>
      <w:tr>
        <w:trPr>
          <w:cantSplit w:val="true"/>
          <w:trHeight w:val="432"/>
        </w:trPr>
        <w:tc>
          <w:tcPr>
            <w:tcW w:type="dxa" w:w="4385"/>
          </w:tcPr>
          <w:p>
            <w:pPr>
              <w:keepNext/>
              <w:spacing w:after="0"/>
            </w:pPr>
            <w:r>
              <w:rPr>
                <w:b w:val="0"/>
                <w:sz w:val="19"/>
              </w:rPr>
              <w:t>Prescribing limits by telehealth (including controlled substances)</w:t>
            </w:r>
          </w:p>
        </w:tc>
        <w:tc>
          <w:tcPr>
            <w:tcW w:type="dxa" w:w="1754"/>
          </w:tcPr>
          <w:p>
            <w:pPr>
              <w:keepNext/>
              <w:spacing w:after="0"/>
            </w:pPr>
          </w:p>
        </w:tc>
        <w:tc>
          <w:tcPr>
            <w:tcW w:type="dxa" w:w="1754"/>
          </w:tcPr>
          <w:p>
            <w:pPr>
              <w:keepNext/>
              <w:spacing w:after="0"/>
            </w:pPr>
          </w:p>
        </w:tc>
        <w:tc>
          <w:tcPr>
            <w:tcW w:type="dxa" w:w="1754"/>
          </w:tcPr>
          <w:p>
            <w:pPr>
              <w:keepNext/>
              <w:spacing w:after="0"/>
            </w:pPr>
          </w:p>
        </w:tc>
      </w:tr>
      <w:tr>
        <w:trPr>
          <w:cantSplit w:val="true"/>
          <w:trHeight w:val="432"/>
        </w:trPr>
        <w:tc>
          <w:tcPr>
            <w:tcW w:type="dxa" w:w="4385"/>
          </w:tcPr>
          <w:p>
            <w:pPr>
              <w:keepNext/>
              <w:spacing w:after="0"/>
            </w:pPr>
            <w:r>
              <w:rPr>
                <w:b w:val="0"/>
                <w:sz w:val="19"/>
              </w:rPr>
              <w:t>Rules for home health or mobile nursing providers</w:t>
            </w:r>
          </w:p>
        </w:tc>
        <w:tc>
          <w:tcPr>
            <w:tcW w:type="dxa" w:w="1754"/>
          </w:tcPr>
          <w:p>
            <w:pPr>
              <w:keepNext/>
              <w:spacing w:after="0"/>
            </w:pPr>
          </w:p>
        </w:tc>
        <w:tc>
          <w:tcPr>
            <w:tcW w:type="dxa" w:w="1754"/>
          </w:tcPr>
          <w:p>
            <w:pPr>
              <w:keepNext/>
              <w:spacing w:after="0"/>
            </w:pPr>
          </w:p>
        </w:tc>
        <w:tc>
          <w:tcPr>
            <w:tcW w:type="dxa" w:w="1754"/>
          </w:tcPr>
          <w:p>
            <w:pPr>
              <w:keepNext/>
              <w:spacing w:after="0"/>
            </w:pPr>
          </w:p>
        </w:tc>
      </w:tr>
      <w:tr>
        <w:trPr>
          <w:cantSplit w:val="true"/>
          <w:trHeight w:val="432"/>
        </w:trPr>
        <w:tc>
          <w:tcPr>
            <w:tcW w:type="dxa" w:w="4385"/>
          </w:tcPr>
          <w:p>
            <w:pPr>
              <w:spacing w:after="0"/>
            </w:pPr>
            <w:r>
              <w:rPr>
                <w:b w:val="0"/>
                <w:sz w:val="19"/>
              </w:rPr>
              <w:t>License or certification for phlebotomists, medical assistants and other technicians who do study tasks (SOP-904 5.4.1)</w:t>
            </w:r>
          </w:p>
        </w:tc>
        <w:tc>
          <w:tcPr>
            <w:tcW w:type="dxa" w:w="1754"/>
          </w:tcPr>
          <w:p>
            <w:pPr>
              <w:spacing w:after="0"/>
            </w:pPr>
          </w:p>
        </w:tc>
        <w:tc>
          <w:tcPr>
            <w:tcW w:type="dxa" w:w="1754"/>
          </w:tcPr>
          <w:p>
            <w:pPr>
              <w:spacing w:after="0"/>
            </w:pPr>
          </w:p>
        </w:tc>
        <w:tc>
          <w:tcPr>
            <w:tcW w:type="dxa" w:w="1754"/>
          </w:tcPr>
          <w:p>
            <w:pPr>
              <w:spacing w:after="0"/>
            </w:pPr>
          </w:p>
        </w:tc>
      </w:tr>
    </w:tbl>
    <w:p>
      <w:pPr>
        <w:spacing w:after="40"/>
      </w:pPr>
    </w:p>
    <w:p>
      <w:pPr>
        <w:pStyle w:val="Heading2"/>
      </w:pPr>
      <w:r>
        <w:t>3.10 Controlled substance registration</w:t>
      </w:r>
    </w:p>
    <w:p>
      <w:pPr/>
      <w:r>
        <w:rPr>
          <w:b w:val="0"/>
        </w:rPr>
        <w:t>DEA registration (21 CFR 1301) is needed to handle controlled substances. Many states require a separate state registration or license, and some require a separate research registration even when the investigator already prescribes. SOP-304 Investigational Product Management uses these answers.</w:t>
      </w:r>
    </w:p>
    <w:tbl>
      <w:tblPr>
        <w:tblStyle w:val="TableGrid"/>
        <w:tblW w:type="auto" w:w="0"/>
        <w:jc w:val="left"/>
        <w:tblLayout w:type="fixed"/>
        <w:tblLook w:firstColumn="1" w:firstRow="1" w:lastColumn="0" w:lastRow="0" w:noHBand="0" w:noVBand="1" w:val="04A0"/>
      </w:tblPr>
      <w:tblGrid>
        <w:gridCol w:w="3900"/>
        <w:gridCol w:w="1915"/>
        <w:gridCol w:w="1915"/>
        <w:gridCol w:w="1915"/>
      </w:tblGrid>
      <w:tr>
        <w:trPr>
          <w:tblHeader w:val="true"/>
        </w:trPr>
        <w:tc>
          <w:tcPr>
            <w:tcW w:type="dxa" w:w="3900"/>
            <w:shd w:val="clear" w:color="auto" w:fill="D9E2F3"/>
          </w:tcPr>
          <w:p>
            <w:pPr>
              <w:keepNext/>
              <w:spacing w:after="0"/>
            </w:pPr>
            <w:r>
              <w:rPr>
                <w:b/>
                <w:sz w:val="19"/>
              </w:rPr>
              <w:t>Topic</w:t>
            </w:r>
          </w:p>
        </w:tc>
        <w:tc>
          <w:tcPr>
            <w:tcW w:type="dxa" w:w="1915"/>
            <w:shd w:val="clear" w:color="auto" w:fill="D9E2F3"/>
          </w:tcPr>
          <w:p>
            <w:pPr>
              <w:keepNext/>
              <w:spacing w:after="0"/>
            </w:pPr>
            <w:r>
              <w:rPr>
                <w:b/>
                <w:sz w:val="19"/>
              </w:rPr>
              <w:t>State answer</w:t>
            </w:r>
          </w:p>
        </w:tc>
        <w:tc>
          <w:tcPr>
            <w:tcW w:type="dxa" w:w="1915"/>
            <w:shd w:val="clear" w:color="auto" w:fill="D9E2F3"/>
          </w:tcPr>
          <w:p>
            <w:pPr>
              <w:keepNext/>
              <w:spacing w:after="0"/>
            </w:pPr>
            <w:r>
              <w:rPr>
                <w:b/>
                <w:sz w:val="19"/>
              </w:rPr>
              <w:t>Statute/source</w:t>
            </w:r>
          </w:p>
        </w:tc>
        <w:tc>
          <w:tcPr>
            <w:tcW w:type="dxa" w:w="1915"/>
            <w:shd w:val="clear" w:color="auto" w:fill="D9E2F3"/>
          </w:tcPr>
          <w:p>
            <w:pPr>
              <w:keepNext/>
              <w:spacing w:after="0"/>
            </w:pPr>
            <w:r>
              <w:rPr>
                <w:b/>
                <w:sz w:val="19"/>
              </w:rPr>
              <w:t>Reviewed by/date</w:t>
            </w:r>
          </w:p>
        </w:tc>
      </w:tr>
      <w:tr>
        <w:trPr>
          <w:cantSplit w:val="true"/>
          <w:trHeight w:val="432"/>
        </w:trPr>
        <w:tc>
          <w:tcPr>
            <w:tcW w:type="dxa" w:w="3900"/>
          </w:tcPr>
          <w:p>
            <w:pPr>
              <w:keepNext/>
              <w:spacing w:after="0"/>
            </w:pPr>
            <w:r>
              <w:rPr>
                <w:b w:val="0"/>
                <w:sz w:val="19"/>
              </w:rPr>
              <w:t>State controlled substance registration required?</w:t>
            </w:r>
          </w:p>
        </w:tc>
        <w:tc>
          <w:tcPr>
            <w:tcW w:type="dxa" w:w="1915"/>
          </w:tcPr>
          <w:p>
            <w:pPr>
              <w:keepNext/>
              <w:spacing w:after="0"/>
            </w:pPr>
          </w:p>
        </w:tc>
        <w:tc>
          <w:tcPr>
            <w:tcW w:type="dxa" w:w="1915"/>
          </w:tcPr>
          <w:p>
            <w:pPr>
              <w:keepNext/>
              <w:spacing w:after="0"/>
            </w:pPr>
          </w:p>
        </w:tc>
        <w:tc>
          <w:tcPr>
            <w:tcW w:type="dxa" w:w="1915"/>
          </w:tcPr>
          <w:p>
            <w:pPr>
              <w:keepNext/>
              <w:spacing w:after="0"/>
            </w:pPr>
          </w:p>
        </w:tc>
      </w:tr>
      <w:tr>
        <w:trPr>
          <w:cantSplit w:val="true"/>
          <w:trHeight w:val="432"/>
        </w:trPr>
        <w:tc>
          <w:tcPr>
            <w:tcW w:type="dxa" w:w="3900"/>
          </w:tcPr>
          <w:p>
            <w:pPr>
              <w:keepNext/>
              <w:spacing w:after="0"/>
            </w:pPr>
            <w:r>
              <w:rPr>
                <w:b w:val="0"/>
                <w:sz w:val="19"/>
              </w:rPr>
              <w:t>Separate research registration or license required?</w:t>
            </w:r>
          </w:p>
        </w:tc>
        <w:tc>
          <w:tcPr>
            <w:tcW w:type="dxa" w:w="1915"/>
          </w:tcPr>
          <w:p>
            <w:pPr>
              <w:keepNext/>
              <w:spacing w:after="0"/>
            </w:pPr>
          </w:p>
        </w:tc>
        <w:tc>
          <w:tcPr>
            <w:tcW w:type="dxa" w:w="1915"/>
          </w:tcPr>
          <w:p>
            <w:pPr>
              <w:keepNext/>
              <w:spacing w:after="0"/>
            </w:pPr>
          </w:p>
        </w:tc>
        <w:tc>
          <w:tcPr>
            <w:tcW w:type="dxa" w:w="1915"/>
          </w:tcPr>
          <w:p>
            <w:pPr>
              <w:keepNext/>
              <w:spacing w:after="0"/>
            </w:pPr>
          </w:p>
        </w:tc>
      </w:tr>
      <w:tr>
        <w:trPr>
          <w:cantSplit w:val="true"/>
          <w:trHeight w:val="432"/>
        </w:trPr>
        <w:tc>
          <w:tcPr>
            <w:tcW w:type="dxa" w:w="3900"/>
          </w:tcPr>
          <w:p>
            <w:pPr>
              <w:keepNext/>
              <w:spacing w:after="0"/>
            </w:pPr>
            <w:r>
              <w:rPr>
                <w:b w:val="0"/>
                <w:sz w:val="19"/>
              </w:rPr>
              <w:t>Prescription drug monitoring program registration or checks required</w:t>
            </w:r>
          </w:p>
        </w:tc>
        <w:tc>
          <w:tcPr>
            <w:tcW w:type="dxa" w:w="1915"/>
          </w:tcPr>
          <w:p>
            <w:pPr>
              <w:keepNext/>
              <w:spacing w:after="0"/>
            </w:pPr>
          </w:p>
        </w:tc>
        <w:tc>
          <w:tcPr>
            <w:tcW w:type="dxa" w:w="1915"/>
          </w:tcPr>
          <w:p>
            <w:pPr>
              <w:keepNext/>
              <w:spacing w:after="0"/>
            </w:pPr>
          </w:p>
        </w:tc>
        <w:tc>
          <w:tcPr>
            <w:tcW w:type="dxa" w:w="1915"/>
          </w:tcPr>
          <w:p>
            <w:pPr>
              <w:keepNext/>
              <w:spacing w:after="0"/>
            </w:pPr>
          </w:p>
        </w:tc>
      </w:tr>
      <w:tr>
        <w:trPr>
          <w:cantSplit w:val="true"/>
          <w:trHeight w:val="432"/>
        </w:trPr>
        <w:tc>
          <w:tcPr>
            <w:tcW w:type="dxa" w:w="3900"/>
          </w:tcPr>
          <w:p>
            <w:pPr>
              <w:spacing w:after="0"/>
            </w:pPr>
            <w:r>
              <w:rPr>
                <w:b w:val="0"/>
                <w:sz w:val="19"/>
              </w:rPr>
              <w:t>State storage, record or reporting rules beyond DEA</w:t>
            </w:r>
          </w:p>
        </w:tc>
        <w:tc>
          <w:tcPr>
            <w:tcW w:type="dxa" w:w="1915"/>
          </w:tcPr>
          <w:p>
            <w:pPr>
              <w:spacing w:after="0"/>
            </w:pPr>
          </w:p>
        </w:tc>
        <w:tc>
          <w:tcPr>
            <w:tcW w:type="dxa" w:w="1915"/>
          </w:tcPr>
          <w:p>
            <w:pPr>
              <w:spacing w:after="0"/>
            </w:pPr>
          </w:p>
        </w:tc>
        <w:tc>
          <w:tcPr>
            <w:tcW w:type="dxa" w:w="1915"/>
          </w:tcPr>
          <w:p>
            <w:pPr>
              <w:spacing w:after="0"/>
            </w:pPr>
          </w:p>
        </w:tc>
      </w:tr>
    </w:tbl>
    <w:p>
      <w:pPr>
        <w:spacing w:after="40"/>
      </w:pPr>
    </w:p>
    <w:p>
      <w:pPr>
        <w:pStyle w:val="Heading2"/>
      </w:pPr>
      <w:r>
        <w:t>3.11 Data breach notification</w:t>
      </w:r>
    </w:p>
    <w:p>
      <w:pPr/>
      <w:r>
        <w:rPr>
          <w:b w:val="0"/>
        </w:rPr>
        <w:t>HIPAA breach notification (45 CFR 164.400 to 164.414) applies to covered entities. State breach laws may add notice to the state attorney general or another regulator, shorter deadlines, or cover data HIPAA does not. SOP-400 and F-400-01 Privacy Incident Report use these answers.</w:t>
      </w:r>
    </w:p>
    <w:tbl>
      <w:tblPr>
        <w:tblStyle w:val="TableGrid"/>
        <w:tblW w:type="auto" w:w="0"/>
        <w:jc w:val="left"/>
        <w:tblLayout w:type="fixed"/>
        <w:tblLook w:firstColumn="1" w:firstRow="1" w:lastColumn="0" w:lastRow="0" w:noHBand="0" w:noVBand="1" w:val="04A0"/>
      </w:tblPr>
      <w:tblGrid>
        <w:gridCol w:w="4341"/>
        <w:gridCol w:w="1768"/>
        <w:gridCol w:w="1768"/>
        <w:gridCol w:w="1768"/>
      </w:tblGrid>
      <w:tr>
        <w:trPr>
          <w:tblHeader w:val="true"/>
        </w:trPr>
        <w:tc>
          <w:tcPr>
            <w:tcW w:type="dxa" w:w="4341"/>
            <w:shd w:val="clear" w:color="auto" w:fill="D9E2F3"/>
          </w:tcPr>
          <w:p>
            <w:pPr>
              <w:keepNext/>
              <w:spacing w:after="0"/>
            </w:pPr>
            <w:r>
              <w:rPr>
                <w:b/>
                <w:sz w:val="19"/>
              </w:rPr>
              <w:t>Topic</w:t>
            </w:r>
          </w:p>
        </w:tc>
        <w:tc>
          <w:tcPr>
            <w:tcW w:type="dxa" w:w="1768"/>
            <w:shd w:val="clear" w:color="auto" w:fill="D9E2F3"/>
          </w:tcPr>
          <w:p>
            <w:pPr>
              <w:keepNext/>
              <w:spacing w:after="0"/>
            </w:pPr>
            <w:r>
              <w:rPr>
                <w:b/>
                <w:sz w:val="19"/>
              </w:rPr>
              <w:t>State answer</w:t>
            </w:r>
          </w:p>
        </w:tc>
        <w:tc>
          <w:tcPr>
            <w:tcW w:type="dxa" w:w="1768"/>
            <w:shd w:val="clear" w:color="auto" w:fill="D9E2F3"/>
          </w:tcPr>
          <w:p>
            <w:pPr>
              <w:keepNext/>
              <w:spacing w:after="0"/>
            </w:pPr>
            <w:r>
              <w:rPr>
                <w:b/>
                <w:sz w:val="19"/>
              </w:rPr>
              <w:t>Statute/source</w:t>
            </w:r>
          </w:p>
        </w:tc>
        <w:tc>
          <w:tcPr>
            <w:tcW w:type="dxa" w:w="1768"/>
            <w:shd w:val="clear" w:color="auto" w:fill="D9E2F3"/>
          </w:tcPr>
          <w:p>
            <w:pPr>
              <w:keepNext/>
              <w:spacing w:after="0"/>
            </w:pPr>
            <w:r>
              <w:rPr>
                <w:b/>
                <w:sz w:val="19"/>
              </w:rPr>
              <w:t>Reviewed by/date</w:t>
            </w:r>
          </w:p>
        </w:tc>
      </w:tr>
      <w:tr>
        <w:trPr>
          <w:cantSplit w:val="true"/>
          <w:trHeight w:val="432"/>
        </w:trPr>
        <w:tc>
          <w:tcPr>
            <w:tcW w:type="dxa" w:w="4341"/>
          </w:tcPr>
          <w:p>
            <w:pPr>
              <w:keepNext/>
              <w:spacing w:after="0"/>
            </w:pPr>
            <w:r>
              <w:rPr>
                <w:b w:val="0"/>
                <w:sz w:val="19"/>
              </w:rPr>
              <w:t>State breach notification statute</w:t>
            </w:r>
          </w:p>
        </w:tc>
        <w:tc>
          <w:tcPr>
            <w:tcW w:type="dxa" w:w="1768"/>
          </w:tcPr>
          <w:p>
            <w:pPr>
              <w:keepNext/>
              <w:spacing w:after="0"/>
            </w:pPr>
          </w:p>
        </w:tc>
        <w:tc>
          <w:tcPr>
            <w:tcW w:type="dxa" w:w="1768"/>
          </w:tcPr>
          <w:p>
            <w:pPr>
              <w:keepNext/>
              <w:spacing w:after="0"/>
            </w:pPr>
          </w:p>
        </w:tc>
        <w:tc>
          <w:tcPr>
            <w:tcW w:type="dxa" w:w="1768"/>
          </w:tcPr>
          <w:p>
            <w:pPr>
              <w:keepNext/>
              <w:spacing w:after="0"/>
            </w:pPr>
          </w:p>
        </w:tc>
      </w:tr>
      <w:tr>
        <w:trPr>
          <w:cantSplit w:val="true"/>
          <w:trHeight w:val="432"/>
        </w:trPr>
        <w:tc>
          <w:tcPr>
            <w:tcW w:type="dxa" w:w="4341"/>
          </w:tcPr>
          <w:p>
            <w:pPr>
              <w:keepNext/>
              <w:spacing w:after="0"/>
            </w:pPr>
            <w:r>
              <w:rPr>
                <w:b w:val="0"/>
                <w:sz w:val="19"/>
              </w:rPr>
              <w:t>Who must be notified (individuals, attorney general, other agency)</w:t>
            </w:r>
          </w:p>
        </w:tc>
        <w:tc>
          <w:tcPr>
            <w:tcW w:type="dxa" w:w="1768"/>
          </w:tcPr>
          <w:p>
            <w:pPr>
              <w:keepNext/>
              <w:spacing w:after="0"/>
            </w:pPr>
          </w:p>
        </w:tc>
        <w:tc>
          <w:tcPr>
            <w:tcW w:type="dxa" w:w="1768"/>
          </w:tcPr>
          <w:p>
            <w:pPr>
              <w:keepNext/>
              <w:spacing w:after="0"/>
            </w:pPr>
          </w:p>
        </w:tc>
        <w:tc>
          <w:tcPr>
            <w:tcW w:type="dxa" w:w="1768"/>
          </w:tcPr>
          <w:p>
            <w:pPr>
              <w:keepNext/>
              <w:spacing w:after="0"/>
            </w:pPr>
          </w:p>
        </w:tc>
      </w:tr>
      <w:tr>
        <w:trPr>
          <w:cantSplit w:val="true"/>
          <w:trHeight w:val="432"/>
        </w:trPr>
        <w:tc>
          <w:tcPr>
            <w:tcW w:type="dxa" w:w="4341"/>
          </w:tcPr>
          <w:p>
            <w:pPr>
              <w:keepNext/>
              <w:spacing w:after="0"/>
            </w:pPr>
            <w:r>
              <w:rPr>
                <w:b w:val="0"/>
                <w:sz w:val="19"/>
              </w:rPr>
              <w:t>Deadline</w:t>
            </w:r>
          </w:p>
        </w:tc>
        <w:tc>
          <w:tcPr>
            <w:tcW w:type="dxa" w:w="1768"/>
          </w:tcPr>
          <w:p>
            <w:pPr>
              <w:keepNext/>
              <w:spacing w:after="0"/>
            </w:pPr>
          </w:p>
        </w:tc>
        <w:tc>
          <w:tcPr>
            <w:tcW w:type="dxa" w:w="1768"/>
          </w:tcPr>
          <w:p>
            <w:pPr>
              <w:keepNext/>
              <w:spacing w:after="0"/>
            </w:pPr>
          </w:p>
        </w:tc>
        <w:tc>
          <w:tcPr>
            <w:tcW w:type="dxa" w:w="1768"/>
          </w:tcPr>
          <w:p>
            <w:pPr>
              <w:keepNext/>
              <w:spacing w:after="0"/>
            </w:pPr>
          </w:p>
        </w:tc>
      </w:tr>
      <w:tr>
        <w:trPr>
          <w:cantSplit w:val="true"/>
          <w:trHeight w:val="432"/>
        </w:trPr>
        <w:tc>
          <w:tcPr>
            <w:tcW w:type="dxa" w:w="4341"/>
          </w:tcPr>
          <w:p>
            <w:pPr>
              <w:keepNext/>
              <w:spacing w:after="0"/>
            </w:pPr>
            <w:r>
              <w:rPr>
                <w:b w:val="0"/>
                <w:sz w:val="19"/>
              </w:rPr>
              <w:t>Does compliance with HIPAA satisfy the state law?</w:t>
            </w:r>
          </w:p>
        </w:tc>
        <w:tc>
          <w:tcPr>
            <w:tcW w:type="dxa" w:w="1768"/>
          </w:tcPr>
          <w:p>
            <w:pPr>
              <w:keepNext/>
              <w:spacing w:after="0"/>
            </w:pPr>
          </w:p>
        </w:tc>
        <w:tc>
          <w:tcPr>
            <w:tcW w:type="dxa" w:w="1768"/>
          </w:tcPr>
          <w:p>
            <w:pPr>
              <w:keepNext/>
              <w:spacing w:after="0"/>
            </w:pPr>
          </w:p>
        </w:tc>
        <w:tc>
          <w:tcPr>
            <w:tcW w:type="dxa" w:w="1768"/>
          </w:tcPr>
          <w:p>
            <w:pPr>
              <w:keepNext/>
              <w:spacing w:after="0"/>
            </w:pPr>
          </w:p>
        </w:tc>
      </w:tr>
      <w:tr>
        <w:trPr>
          <w:cantSplit w:val="true"/>
          <w:trHeight w:val="432"/>
        </w:trPr>
        <w:tc>
          <w:tcPr>
            <w:tcW w:type="dxa" w:w="4341"/>
          </w:tcPr>
          <w:p>
            <w:pPr>
              <w:keepNext/>
              <w:spacing w:after="0"/>
            </w:pPr>
            <w:r>
              <w:rPr>
                <w:b w:val="0"/>
                <w:sz w:val="19"/>
              </w:rPr>
              <w:t>Other state health privacy law (for example a state medical confidentiality act)</w:t>
            </w:r>
          </w:p>
        </w:tc>
        <w:tc>
          <w:tcPr>
            <w:tcW w:type="dxa" w:w="1768"/>
          </w:tcPr>
          <w:p>
            <w:pPr>
              <w:keepNext/>
              <w:spacing w:after="0"/>
            </w:pPr>
          </w:p>
        </w:tc>
        <w:tc>
          <w:tcPr>
            <w:tcW w:type="dxa" w:w="1768"/>
          </w:tcPr>
          <w:p>
            <w:pPr>
              <w:keepNext/>
              <w:spacing w:after="0"/>
            </w:pPr>
          </w:p>
        </w:tc>
        <w:tc>
          <w:tcPr>
            <w:tcW w:type="dxa" w:w="1768"/>
          </w:tcPr>
          <w:p>
            <w:pPr>
              <w:keepNext/>
              <w:spacing w:after="0"/>
            </w:pPr>
          </w:p>
        </w:tc>
      </w:tr>
      <w:tr>
        <w:trPr>
          <w:cantSplit w:val="true"/>
          <w:trHeight w:val="432"/>
        </w:trPr>
        <w:tc>
          <w:tcPr>
            <w:tcW w:type="dxa" w:w="4341"/>
          </w:tcPr>
          <w:p>
            <w:pPr>
              <w:keepNext/>
              <w:spacing w:after="0"/>
            </w:pPr>
            <w:r>
              <w:rPr>
                <w:b w:val="0"/>
                <w:sz w:val="19"/>
              </w:rPr>
              <w:t>Extra protection for specific information (HIV status, mental health, reproductive health, substance use, minors' records)</w:t>
            </w:r>
          </w:p>
        </w:tc>
        <w:tc>
          <w:tcPr>
            <w:tcW w:type="dxa" w:w="1768"/>
          </w:tcPr>
          <w:p>
            <w:pPr>
              <w:keepNext/>
              <w:spacing w:after="0"/>
            </w:pPr>
          </w:p>
        </w:tc>
        <w:tc>
          <w:tcPr>
            <w:tcW w:type="dxa" w:w="1768"/>
          </w:tcPr>
          <w:p>
            <w:pPr>
              <w:keepNext/>
              <w:spacing w:after="0"/>
            </w:pPr>
          </w:p>
        </w:tc>
        <w:tc>
          <w:tcPr>
            <w:tcW w:type="dxa" w:w="1768"/>
          </w:tcPr>
          <w:p>
            <w:pPr>
              <w:keepNext/>
              <w:spacing w:after="0"/>
            </w:pPr>
          </w:p>
        </w:tc>
      </w:tr>
      <w:tr>
        <w:trPr>
          <w:cantSplit w:val="true"/>
          <w:trHeight w:val="432"/>
        </w:trPr>
        <w:tc>
          <w:tcPr>
            <w:tcW w:type="dxa" w:w="4341"/>
          </w:tcPr>
          <w:p>
            <w:pPr>
              <w:spacing w:after="0"/>
            </w:pPr>
            <w:r>
              <w:rPr>
                <w:b w:val="0"/>
                <w:sz w:val="19"/>
              </w:rPr>
              <w:t>State consumer health data law covering entities HIPAA does not cover</w:t>
            </w:r>
          </w:p>
        </w:tc>
        <w:tc>
          <w:tcPr>
            <w:tcW w:type="dxa" w:w="1768"/>
          </w:tcPr>
          <w:p>
            <w:pPr>
              <w:spacing w:after="0"/>
            </w:pPr>
          </w:p>
        </w:tc>
        <w:tc>
          <w:tcPr>
            <w:tcW w:type="dxa" w:w="1768"/>
          </w:tcPr>
          <w:p>
            <w:pPr>
              <w:spacing w:after="0"/>
            </w:pPr>
          </w:p>
        </w:tc>
        <w:tc>
          <w:tcPr>
            <w:tcW w:type="dxa" w:w="1768"/>
          </w:tcPr>
          <w:p>
            <w:pPr>
              <w:spacing w:after="0"/>
            </w:pPr>
          </w:p>
        </w:tc>
      </w:tr>
    </w:tbl>
    <w:p>
      <w:pPr>
        <w:spacing w:after="40"/>
      </w:pPr>
    </w:p>
    <w:p>
      <w:pPr>
        <w:pStyle w:val="Heading2"/>
      </w:pPr>
      <w:r>
        <w:t>3.12 Mandatory reporting</w:t>
      </w:r>
    </w:p>
    <w:p>
      <w:pPr/>
      <w:r>
        <w:rPr>
          <w:b w:val="0"/>
        </w:rPr>
        <w:t>Research staff may learn of abuse, neglect, threats of harm, or reportable diseases during a study. State law names who must report, to whom and how fast. The consent form should tell participants about any reporting duty the IRB requires to be disclosed.</w:t>
      </w:r>
    </w:p>
    <w:tbl>
      <w:tblPr>
        <w:tblStyle w:val="TableGrid"/>
        <w:tblW w:type="auto" w:w="0"/>
        <w:jc w:val="left"/>
        <w:tblLayout w:type="fixed"/>
        <w:tblLook w:firstColumn="1" w:firstRow="1" w:lastColumn="0" w:lastRow="0" w:noHBand="0" w:noVBand="1" w:val="04A0"/>
      </w:tblPr>
      <w:tblGrid>
        <w:gridCol w:w="3640"/>
        <w:gridCol w:w="2002"/>
        <w:gridCol w:w="2002"/>
        <w:gridCol w:w="2002"/>
      </w:tblGrid>
      <w:tr>
        <w:trPr>
          <w:tblHeader w:val="true"/>
        </w:trPr>
        <w:tc>
          <w:tcPr>
            <w:tcW w:type="dxa" w:w="3640"/>
            <w:shd w:val="clear" w:color="auto" w:fill="D9E2F3"/>
          </w:tcPr>
          <w:p>
            <w:pPr>
              <w:keepNext/>
              <w:spacing w:after="0"/>
            </w:pPr>
            <w:r>
              <w:rPr>
                <w:b/>
                <w:sz w:val="19"/>
              </w:rPr>
              <w:t>Topic</w:t>
            </w:r>
          </w:p>
        </w:tc>
        <w:tc>
          <w:tcPr>
            <w:tcW w:type="dxa" w:w="2002"/>
            <w:shd w:val="clear" w:color="auto" w:fill="D9E2F3"/>
          </w:tcPr>
          <w:p>
            <w:pPr>
              <w:keepNext/>
              <w:spacing w:after="0"/>
            </w:pPr>
            <w:r>
              <w:rPr>
                <w:b/>
                <w:sz w:val="19"/>
              </w:rPr>
              <w:t>State answer</w:t>
            </w:r>
          </w:p>
        </w:tc>
        <w:tc>
          <w:tcPr>
            <w:tcW w:type="dxa" w:w="2002"/>
            <w:shd w:val="clear" w:color="auto" w:fill="D9E2F3"/>
          </w:tcPr>
          <w:p>
            <w:pPr>
              <w:keepNext/>
              <w:spacing w:after="0"/>
            </w:pPr>
            <w:r>
              <w:rPr>
                <w:b/>
                <w:sz w:val="19"/>
              </w:rPr>
              <w:t>Statute/source</w:t>
            </w:r>
          </w:p>
        </w:tc>
        <w:tc>
          <w:tcPr>
            <w:tcW w:type="dxa" w:w="2002"/>
            <w:shd w:val="clear" w:color="auto" w:fill="D9E2F3"/>
          </w:tcPr>
          <w:p>
            <w:pPr>
              <w:keepNext/>
              <w:spacing w:after="0"/>
            </w:pPr>
            <w:r>
              <w:rPr>
                <w:b/>
                <w:sz w:val="19"/>
              </w:rPr>
              <w:t>Reviewed by/date</w:t>
            </w:r>
          </w:p>
        </w:tc>
      </w:tr>
      <w:tr>
        <w:trPr>
          <w:cantSplit w:val="true"/>
          <w:trHeight w:val="432"/>
        </w:trPr>
        <w:tc>
          <w:tcPr>
            <w:tcW w:type="dxa" w:w="3640"/>
          </w:tcPr>
          <w:p>
            <w:pPr>
              <w:keepNext/>
              <w:spacing w:after="0"/>
            </w:pPr>
            <w:r>
              <w:rPr>
                <w:b w:val="0"/>
                <w:sz w:val="19"/>
              </w:rPr>
              <w:t>Child abuse and neglect: who must report and to whom</w:t>
            </w:r>
          </w:p>
        </w:tc>
        <w:tc>
          <w:tcPr>
            <w:tcW w:type="dxa" w:w="2002"/>
          </w:tcPr>
          <w:p>
            <w:pPr>
              <w:keepNext/>
              <w:spacing w:after="0"/>
            </w:pPr>
          </w:p>
        </w:tc>
        <w:tc>
          <w:tcPr>
            <w:tcW w:type="dxa" w:w="2002"/>
          </w:tcPr>
          <w:p>
            <w:pPr>
              <w:keepNext/>
              <w:spacing w:after="0"/>
            </w:pPr>
          </w:p>
        </w:tc>
        <w:tc>
          <w:tcPr>
            <w:tcW w:type="dxa" w:w="2002"/>
          </w:tcPr>
          <w:p>
            <w:pPr>
              <w:keepNext/>
              <w:spacing w:after="0"/>
            </w:pPr>
          </w:p>
        </w:tc>
      </w:tr>
      <w:tr>
        <w:trPr>
          <w:cantSplit w:val="true"/>
          <w:trHeight w:val="432"/>
        </w:trPr>
        <w:tc>
          <w:tcPr>
            <w:tcW w:type="dxa" w:w="3640"/>
          </w:tcPr>
          <w:p>
            <w:pPr>
              <w:keepNext/>
              <w:spacing w:after="0"/>
            </w:pPr>
            <w:r>
              <w:rPr>
                <w:b w:val="0"/>
                <w:sz w:val="19"/>
              </w:rPr>
              <w:t>Elder or vulnerable adult abuse: who must report and to whom</w:t>
            </w:r>
          </w:p>
        </w:tc>
        <w:tc>
          <w:tcPr>
            <w:tcW w:type="dxa" w:w="2002"/>
          </w:tcPr>
          <w:p>
            <w:pPr>
              <w:keepNext/>
              <w:spacing w:after="0"/>
            </w:pPr>
          </w:p>
        </w:tc>
        <w:tc>
          <w:tcPr>
            <w:tcW w:type="dxa" w:w="2002"/>
          </w:tcPr>
          <w:p>
            <w:pPr>
              <w:keepNext/>
              <w:spacing w:after="0"/>
            </w:pPr>
          </w:p>
        </w:tc>
        <w:tc>
          <w:tcPr>
            <w:tcW w:type="dxa" w:w="2002"/>
          </w:tcPr>
          <w:p>
            <w:pPr>
              <w:keepNext/>
              <w:spacing w:after="0"/>
            </w:pPr>
          </w:p>
        </w:tc>
      </w:tr>
      <w:tr>
        <w:trPr>
          <w:cantSplit w:val="true"/>
          <w:trHeight w:val="432"/>
        </w:trPr>
        <w:tc>
          <w:tcPr>
            <w:tcW w:type="dxa" w:w="3640"/>
          </w:tcPr>
          <w:p>
            <w:pPr>
              <w:keepNext/>
              <w:spacing w:after="0"/>
            </w:pPr>
            <w:r>
              <w:rPr>
                <w:b w:val="0"/>
                <w:sz w:val="19"/>
              </w:rPr>
              <w:t>Duty to warn or report threats of harm</w:t>
            </w:r>
          </w:p>
        </w:tc>
        <w:tc>
          <w:tcPr>
            <w:tcW w:type="dxa" w:w="2002"/>
          </w:tcPr>
          <w:p>
            <w:pPr>
              <w:keepNext/>
              <w:spacing w:after="0"/>
            </w:pPr>
          </w:p>
        </w:tc>
        <w:tc>
          <w:tcPr>
            <w:tcW w:type="dxa" w:w="2002"/>
          </w:tcPr>
          <w:p>
            <w:pPr>
              <w:keepNext/>
              <w:spacing w:after="0"/>
            </w:pPr>
          </w:p>
        </w:tc>
        <w:tc>
          <w:tcPr>
            <w:tcW w:type="dxa" w:w="2002"/>
          </w:tcPr>
          <w:p>
            <w:pPr>
              <w:keepNext/>
              <w:spacing w:after="0"/>
            </w:pPr>
          </w:p>
        </w:tc>
      </w:tr>
      <w:tr>
        <w:trPr>
          <w:cantSplit w:val="true"/>
          <w:trHeight w:val="432"/>
        </w:trPr>
        <w:tc>
          <w:tcPr>
            <w:tcW w:type="dxa" w:w="3640"/>
          </w:tcPr>
          <w:p>
            <w:pPr>
              <w:keepNext/>
              <w:spacing w:after="0"/>
            </w:pPr>
            <w:r>
              <w:rPr>
                <w:b w:val="0"/>
                <w:sz w:val="19"/>
              </w:rPr>
              <w:t>Reportable communicable diseases</w:t>
            </w:r>
          </w:p>
        </w:tc>
        <w:tc>
          <w:tcPr>
            <w:tcW w:type="dxa" w:w="2002"/>
          </w:tcPr>
          <w:p>
            <w:pPr>
              <w:keepNext/>
              <w:spacing w:after="0"/>
            </w:pPr>
          </w:p>
        </w:tc>
        <w:tc>
          <w:tcPr>
            <w:tcW w:type="dxa" w:w="2002"/>
          </w:tcPr>
          <w:p>
            <w:pPr>
              <w:keepNext/>
              <w:spacing w:after="0"/>
            </w:pPr>
          </w:p>
        </w:tc>
        <w:tc>
          <w:tcPr>
            <w:tcW w:type="dxa" w:w="2002"/>
          </w:tcPr>
          <w:p>
            <w:pPr>
              <w:keepNext/>
              <w:spacing w:after="0"/>
            </w:pPr>
          </w:p>
        </w:tc>
      </w:tr>
      <w:tr>
        <w:trPr>
          <w:cantSplit w:val="true"/>
          <w:trHeight w:val="432"/>
        </w:trPr>
        <w:tc>
          <w:tcPr>
            <w:tcW w:type="dxa" w:w="3640"/>
          </w:tcPr>
          <w:p>
            <w:pPr>
              <w:spacing w:after="0"/>
            </w:pPr>
            <w:r>
              <w:rPr>
                <w:b w:val="0"/>
                <w:sz w:val="19"/>
              </w:rPr>
              <w:t>Other (for example domestic violence, gunshot wounds)</w:t>
            </w:r>
          </w:p>
        </w:tc>
        <w:tc>
          <w:tcPr>
            <w:tcW w:type="dxa" w:w="2002"/>
          </w:tcPr>
          <w:p>
            <w:pPr>
              <w:spacing w:after="0"/>
            </w:pPr>
          </w:p>
        </w:tc>
        <w:tc>
          <w:tcPr>
            <w:tcW w:type="dxa" w:w="2002"/>
          </w:tcPr>
          <w:p>
            <w:pPr>
              <w:spacing w:after="0"/>
            </w:pPr>
          </w:p>
        </w:tc>
        <w:tc>
          <w:tcPr>
            <w:tcW w:type="dxa" w:w="2002"/>
          </w:tcPr>
          <w:p>
            <w:pPr>
              <w:spacing w:after="0"/>
            </w:pPr>
          </w:p>
        </w:tc>
      </w:tr>
    </w:tbl>
    <w:p>
      <w:pPr>
        <w:spacing w:after="40"/>
      </w:pPr>
    </w:p>
    <w:p>
      <w:pPr>
        <w:pStyle w:val="Heading2"/>
      </w:pPr>
      <w:r>
        <w:t>3.13 Laboratory testing</w:t>
      </w:r>
    </w:p>
    <w:p>
      <w:pPr/>
      <w:r>
        <w:rPr>
          <w:b w:val="0"/>
        </w:rPr>
        <w:t>CLIA (42 CFR 493) is the federal floor for testing done on site. Some states license laboratories or testing personnel separately, or have exempt status under CLIA. SOP-312 Equipment Calibration and Maintenance; Local Laboratory Requirements uses these answers.</w:t>
      </w:r>
    </w:p>
    <w:tbl>
      <w:tblPr>
        <w:tblStyle w:val="TableGrid"/>
        <w:tblW w:type="auto" w:w="0"/>
        <w:jc w:val="left"/>
        <w:tblLayout w:type="fixed"/>
        <w:tblLook w:firstColumn="1" w:firstRow="1" w:lastColumn="0" w:lastRow="0" w:noHBand="0" w:noVBand="1" w:val="04A0"/>
      </w:tblPr>
      <w:tblGrid>
        <w:gridCol w:w="4385"/>
        <w:gridCol w:w="1754"/>
        <w:gridCol w:w="1754"/>
        <w:gridCol w:w="1754"/>
      </w:tblGrid>
      <w:tr>
        <w:trPr>
          <w:tblHeader w:val="true"/>
        </w:trPr>
        <w:tc>
          <w:tcPr>
            <w:tcW w:type="dxa" w:w="4385"/>
            <w:shd w:val="clear" w:color="auto" w:fill="D9E2F3"/>
          </w:tcPr>
          <w:p>
            <w:pPr>
              <w:keepNext/>
              <w:spacing w:after="0"/>
            </w:pPr>
            <w:r>
              <w:rPr>
                <w:b/>
                <w:sz w:val="19"/>
              </w:rPr>
              <w:t>Topic</w:t>
            </w:r>
          </w:p>
        </w:tc>
        <w:tc>
          <w:tcPr>
            <w:tcW w:type="dxa" w:w="1754"/>
            <w:shd w:val="clear" w:color="auto" w:fill="D9E2F3"/>
          </w:tcPr>
          <w:p>
            <w:pPr>
              <w:keepNext/>
              <w:spacing w:after="0"/>
            </w:pPr>
            <w:r>
              <w:rPr>
                <w:b/>
                <w:sz w:val="19"/>
              </w:rPr>
              <w:t>State answer</w:t>
            </w:r>
          </w:p>
        </w:tc>
        <w:tc>
          <w:tcPr>
            <w:tcW w:type="dxa" w:w="1754"/>
            <w:shd w:val="clear" w:color="auto" w:fill="D9E2F3"/>
          </w:tcPr>
          <w:p>
            <w:pPr>
              <w:keepNext/>
              <w:spacing w:after="0"/>
            </w:pPr>
            <w:r>
              <w:rPr>
                <w:b/>
                <w:sz w:val="19"/>
              </w:rPr>
              <w:t>Statute/source</w:t>
            </w:r>
          </w:p>
        </w:tc>
        <w:tc>
          <w:tcPr>
            <w:tcW w:type="dxa" w:w="1754"/>
            <w:shd w:val="clear" w:color="auto" w:fill="D9E2F3"/>
          </w:tcPr>
          <w:p>
            <w:pPr>
              <w:keepNext/>
              <w:spacing w:after="0"/>
            </w:pPr>
            <w:r>
              <w:rPr>
                <w:b/>
                <w:sz w:val="19"/>
              </w:rPr>
              <w:t>Reviewed by/date</w:t>
            </w:r>
          </w:p>
        </w:tc>
      </w:tr>
      <w:tr>
        <w:trPr>
          <w:cantSplit w:val="true"/>
          <w:trHeight w:val="432"/>
        </w:trPr>
        <w:tc>
          <w:tcPr>
            <w:tcW w:type="dxa" w:w="4385"/>
          </w:tcPr>
          <w:p>
            <w:pPr>
              <w:keepNext/>
              <w:spacing w:after="0"/>
            </w:pPr>
            <w:r>
              <w:rPr>
                <w:b w:val="0"/>
                <w:sz w:val="19"/>
              </w:rPr>
              <w:t>State laboratory license or registration required for on-site testing (including waived tests)?</w:t>
            </w:r>
          </w:p>
        </w:tc>
        <w:tc>
          <w:tcPr>
            <w:tcW w:type="dxa" w:w="1754"/>
          </w:tcPr>
          <w:p>
            <w:pPr>
              <w:keepNext/>
              <w:spacing w:after="0"/>
            </w:pPr>
          </w:p>
        </w:tc>
        <w:tc>
          <w:tcPr>
            <w:tcW w:type="dxa" w:w="1754"/>
          </w:tcPr>
          <w:p>
            <w:pPr>
              <w:keepNext/>
              <w:spacing w:after="0"/>
            </w:pPr>
          </w:p>
        </w:tc>
        <w:tc>
          <w:tcPr>
            <w:tcW w:type="dxa" w:w="1754"/>
          </w:tcPr>
          <w:p>
            <w:pPr>
              <w:keepNext/>
              <w:spacing w:after="0"/>
            </w:pPr>
          </w:p>
        </w:tc>
      </w:tr>
      <w:tr>
        <w:trPr>
          <w:cantSplit w:val="true"/>
          <w:trHeight w:val="432"/>
        </w:trPr>
        <w:tc>
          <w:tcPr>
            <w:tcW w:type="dxa" w:w="4385"/>
          </w:tcPr>
          <w:p>
            <w:pPr>
              <w:keepNext/>
              <w:spacing w:after="0"/>
            </w:pPr>
            <w:r>
              <w:rPr>
                <w:b w:val="0"/>
                <w:sz w:val="19"/>
              </w:rPr>
              <w:t>State licensure or qualification rules for testing personnel</w:t>
            </w:r>
          </w:p>
        </w:tc>
        <w:tc>
          <w:tcPr>
            <w:tcW w:type="dxa" w:w="1754"/>
          </w:tcPr>
          <w:p>
            <w:pPr>
              <w:keepNext/>
              <w:spacing w:after="0"/>
            </w:pPr>
          </w:p>
        </w:tc>
        <w:tc>
          <w:tcPr>
            <w:tcW w:type="dxa" w:w="1754"/>
          </w:tcPr>
          <w:p>
            <w:pPr>
              <w:keepNext/>
              <w:spacing w:after="0"/>
            </w:pPr>
          </w:p>
        </w:tc>
        <w:tc>
          <w:tcPr>
            <w:tcW w:type="dxa" w:w="1754"/>
          </w:tcPr>
          <w:p>
            <w:pPr>
              <w:keepNext/>
              <w:spacing w:after="0"/>
            </w:pPr>
          </w:p>
        </w:tc>
      </w:tr>
      <w:tr>
        <w:trPr>
          <w:cantSplit w:val="true"/>
          <w:trHeight w:val="432"/>
        </w:trPr>
        <w:tc>
          <w:tcPr>
            <w:tcW w:type="dxa" w:w="4385"/>
          </w:tcPr>
          <w:p>
            <w:pPr>
              <w:spacing w:after="0"/>
            </w:pPr>
            <w:r>
              <w:rPr>
                <w:b w:val="0"/>
                <w:sz w:val="19"/>
              </w:rPr>
              <w:t>CLIA-exempt state program (state runs its own approved program)?</w:t>
            </w:r>
          </w:p>
        </w:tc>
        <w:tc>
          <w:tcPr>
            <w:tcW w:type="dxa" w:w="1754"/>
          </w:tcPr>
          <w:p>
            <w:pPr>
              <w:spacing w:after="0"/>
            </w:pPr>
          </w:p>
        </w:tc>
        <w:tc>
          <w:tcPr>
            <w:tcW w:type="dxa" w:w="1754"/>
          </w:tcPr>
          <w:p>
            <w:pPr>
              <w:spacing w:after="0"/>
            </w:pPr>
          </w:p>
        </w:tc>
        <w:tc>
          <w:tcPr>
            <w:tcW w:type="dxa" w:w="1754"/>
          </w:tcPr>
          <w:p>
            <w:pPr>
              <w:spacing w:after="0"/>
            </w:pPr>
          </w:p>
        </w:tc>
      </w:tr>
    </w:tbl>
    <w:p>
      <w:pPr>
        <w:spacing w:after="40"/>
      </w:pPr>
    </w:p>
    <w:p>
      <w:pPr>
        <w:pStyle w:val="Heading2"/>
      </w:pPr>
      <w:r>
        <w:t>3.14 Investigational product shipment and pharmacy law</w:t>
      </w:r>
    </w:p>
    <w:p>
      <w:pPr/>
      <w:r>
        <w:rPr>
          <w:b w:val="0"/>
        </w:rPr>
        <w:t>Shipping or dispensing IP to participants in this state, or from this state to another, may engage state pharmacy, wholesale distribution or nonresident pharmacy law. SOP-313 Decentralized Trial Elements uses these answers.</w:t>
      </w:r>
    </w:p>
    <w:tbl>
      <w:tblPr>
        <w:tblStyle w:val="TableGrid"/>
        <w:tblW w:type="auto" w:w="0"/>
        <w:jc w:val="left"/>
        <w:tblLayout w:type="fixed"/>
        <w:tblLook w:firstColumn="1" w:firstRow="1" w:lastColumn="0" w:lastRow="0" w:noHBand="0" w:noVBand="1" w:val="04A0"/>
      </w:tblPr>
      <w:tblGrid>
        <w:gridCol w:w="4385"/>
        <w:gridCol w:w="1754"/>
        <w:gridCol w:w="1754"/>
        <w:gridCol w:w="1754"/>
      </w:tblGrid>
      <w:tr>
        <w:trPr>
          <w:tblHeader w:val="true"/>
        </w:trPr>
        <w:tc>
          <w:tcPr>
            <w:tcW w:type="dxa" w:w="4385"/>
            <w:shd w:val="clear" w:color="auto" w:fill="D9E2F3"/>
          </w:tcPr>
          <w:p>
            <w:pPr>
              <w:keepNext/>
              <w:spacing w:after="0"/>
            </w:pPr>
            <w:r>
              <w:rPr>
                <w:b/>
                <w:sz w:val="19"/>
              </w:rPr>
              <w:t>Topic</w:t>
            </w:r>
          </w:p>
        </w:tc>
        <w:tc>
          <w:tcPr>
            <w:tcW w:type="dxa" w:w="1754"/>
            <w:shd w:val="clear" w:color="auto" w:fill="D9E2F3"/>
          </w:tcPr>
          <w:p>
            <w:pPr>
              <w:keepNext/>
              <w:spacing w:after="0"/>
            </w:pPr>
            <w:r>
              <w:rPr>
                <w:b/>
                <w:sz w:val="19"/>
              </w:rPr>
              <w:t>State answer</w:t>
            </w:r>
          </w:p>
        </w:tc>
        <w:tc>
          <w:tcPr>
            <w:tcW w:type="dxa" w:w="1754"/>
            <w:shd w:val="clear" w:color="auto" w:fill="D9E2F3"/>
          </w:tcPr>
          <w:p>
            <w:pPr>
              <w:keepNext/>
              <w:spacing w:after="0"/>
            </w:pPr>
            <w:r>
              <w:rPr>
                <w:b/>
                <w:sz w:val="19"/>
              </w:rPr>
              <w:t>Statute/source</w:t>
            </w:r>
          </w:p>
        </w:tc>
        <w:tc>
          <w:tcPr>
            <w:tcW w:type="dxa" w:w="1754"/>
            <w:shd w:val="clear" w:color="auto" w:fill="D9E2F3"/>
          </w:tcPr>
          <w:p>
            <w:pPr>
              <w:keepNext/>
              <w:spacing w:after="0"/>
            </w:pPr>
            <w:r>
              <w:rPr>
                <w:b/>
                <w:sz w:val="19"/>
              </w:rPr>
              <w:t>Reviewed by/date</w:t>
            </w:r>
          </w:p>
        </w:tc>
      </w:tr>
      <w:tr>
        <w:trPr>
          <w:cantSplit w:val="true"/>
          <w:trHeight w:val="432"/>
        </w:trPr>
        <w:tc>
          <w:tcPr>
            <w:tcW w:type="dxa" w:w="4385"/>
          </w:tcPr>
          <w:p>
            <w:pPr>
              <w:keepNext/>
              <w:spacing w:after="0"/>
            </w:pPr>
            <w:r>
              <w:rPr>
                <w:b w:val="0"/>
                <w:sz w:val="19"/>
              </w:rPr>
              <w:t>License needed to ship or dispense IP directly to participants located in this state</w:t>
            </w:r>
          </w:p>
        </w:tc>
        <w:tc>
          <w:tcPr>
            <w:tcW w:type="dxa" w:w="1754"/>
          </w:tcPr>
          <w:p>
            <w:pPr>
              <w:keepNext/>
              <w:spacing w:after="0"/>
            </w:pPr>
          </w:p>
        </w:tc>
        <w:tc>
          <w:tcPr>
            <w:tcW w:type="dxa" w:w="1754"/>
          </w:tcPr>
          <w:p>
            <w:pPr>
              <w:keepNext/>
              <w:spacing w:after="0"/>
            </w:pPr>
          </w:p>
        </w:tc>
        <w:tc>
          <w:tcPr>
            <w:tcW w:type="dxa" w:w="1754"/>
          </w:tcPr>
          <w:p>
            <w:pPr>
              <w:keepNext/>
              <w:spacing w:after="0"/>
            </w:pPr>
          </w:p>
        </w:tc>
      </w:tr>
      <w:tr>
        <w:trPr>
          <w:cantSplit w:val="true"/>
          <w:trHeight w:val="432"/>
        </w:trPr>
        <w:tc>
          <w:tcPr>
            <w:tcW w:type="dxa" w:w="4385"/>
          </w:tcPr>
          <w:p>
            <w:pPr>
              <w:keepNext/>
              <w:spacing w:after="0"/>
            </w:pPr>
            <w:r>
              <w:rPr>
                <w:b w:val="0"/>
                <w:sz w:val="19"/>
              </w:rPr>
              <w:t>Rules on investigational drug storage or dispensing at the site beyond federal law</w:t>
            </w:r>
          </w:p>
        </w:tc>
        <w:tc>
          <w:tcPr>
            <w:tcW w:type="dxa" w:w="1754"/>
          </w:tcPr>
          <w:p>
            <w:pPr>
              <w:keepNext/>
              <w:spacing w:after="0"/>
            </w:pPr>
          </w:p>
        </w:tc>
        <w:tc>
          <w:tcPr>
            <w:tcW w:type="dxa" w:w="1754"/>
          </w:tcPr>
          <w:p>
            <w:pPr>
              <w:keepNext/>
              <w:spacing w:after="0"/>
            </w:pPr>
          </w:p>
        </w:tc>
        <w:tc>
          <w:tcPr>
            <w:tcW w:type="dxa" w:w="1754"/>
          </w:tcPr>
          <w:p>
            <w:pPr>
              <w:keepNext/>
              <w:spacing w:after="0"/>
            </w:pPr>
          </w:p>
        </w:tc>
      </w:tr>
      <w:tr>
        <w:trPr>
          <w:cantSplit w:val="true"/>
          <w:trHeight w:val="432"/>
        </w:trPr>
        <w:tc>
          <w:tcPr>
            <w:tcW w:type="dxa" w:w="4385"/>
          </w:tcPr>
          <w:p>
            <w:pPr>
              <w:keepNext/>
              <w:spacing w:after="0"/>
            </w:pPr>
            <w:r>
              <w:rPr>
                <w:b w:val="0"/>
                <w:sz w:val="19"/>
              </w:rPr>
              <w:t>License or permit for a central or network location that prepares or dispenses IP for other locations or sites (SOP-304 5.1 Network note; SOP-904)</w:t>
            </w:r>
          </w:p>
        </w:tc>
        <w:tc>
          <w:tcPr>
            <w:tcW w:type="dxa" w:w="1754"/>
          </w:tcPr>
          <w:p>
            <w:pPr>
              <w:keepNext/>
              <w:spacing w:after="0"/>
            </w:pPr>
          </w:p>
        </w:tc>
        <w:tc>
          <w:tcPr>
            <w:tcW w:type="dxa" w:w="1754"/>
          </w:tcPr>
          <w:p>
            <w:pPr>
              <w:keepNext/>
              <w:spacing w:after="0"/>
            </w:pPr>
          </w:p>
        </w:tc>
        <w:tc>
          <w:tcPr>
            <w:tcW w:type="dxa" w:w="1754"/>
          </w:tcPr>
          <w:p>
            <w:pPr>
              <w:keepNext/>
              <w:spacing w:after="0"/>
            </w:pPr>
          </w:p>
        </w:tc>
      </w:tr>
      <w:tr>
        <w:trPr>
          <w:cantSplit w:val="true"/>
          <w:trHeight w:val="432"/>
        </w:trPr>
        <w:tc>
          <w:tcPr>
            <w:tcW w:type="dxa" w:w="4385"/>
          </w:tcPr>
          <w:p>
            <w:pPr>
              <w:spacing w:after="0"/>
            </w:pPr>
            <w:r>
              <w:rPr>
                <w:b w:val="0"/>
                <w:sz w:val="19"/>
              </w:rPr>
              <w:t>Nonresident pharmacy license or permit for a location that ships IP into this state (SOP-313)</w:t>
            </w:r>
          </w:p>
        </w:tc>
        <w:tc>
          <w:tcPr>
            <w:tcW w:type="dxa" w:w="1754"/>
          </w:tcPr>
          <w:p>
            <w:pPr>
              <w:spacing w:after="0"/>
            </w:pPr>
          </w:p>
        </w:tc>
        <w:tc>
          <w:tcPr>
            <w:tcW w:type="dxa" w:w="1754"/>
          </w:tcPr>
          <w:p>
            <w:pPr>
              <w:spacing w:after="0"/>
            </w:pPr>
          </w:p>
        </w:tc>
        <w:tc>
          <w:tcPr>
            <w:tcW w:type="dxa" w:w="1754"/>
          </w:tcPr>
          <w:p>
            <w:pPr>
              <w:spacing w:after="0"/>
            </w:pPr>
          </w:p>
        </w:tc>
      </w:tr>
    </w:tbl>
    <w:p>
      <w:pPr>
        <w:spacing w:after="40"/>
      </w:pPr>
    </w:p>
    <w:p>
      <w:pPr>
        <w:pStyle w:val="Heading2"/>
      </w:pPr>
      <w:r>
        <w:t>3.15 Corporate practice of medicine</w:t>
      </w:r>
    </w:p>
    <w:p>
      <w:pPr/>
      <w:r>
        <w:rPr>
          <w:b w:val="0"/>
        </w:rPr>
        <w:t xml:space="preserve">Some states bar a lay corporation from employing physicians or controlling medical judgment, so physician services must sit in a professional corporation owned by licensed physicians, often under a management services arrangement. The answer affects how a network employs or contracts PIs and Sub-Is, which entity signs CTAs, and whether a member site is the network entity itself or a separate entity (SOP-900 5.2.1.1). </w:t>
      </w:r>
      <w:r>
        <w:rPr>
          <w:b w:val="0"/>
          <w:highlight w:val="yellow"/>
        </w:rPr>
        <w:t>[LEGAL COUNSEL]</w:t>
      </w:r>
      <w:r>
        <w:rPr>
          <w:b w:val="0"/>
        </w:rPr>
        <w:t xml:space="preserve"> completes this section; the site does not answer it on its own.</w:t>
      </w:r>
    </w:p>
    <w:tbl>
      <w:tblPr>
        <w:tblStyle w:val="TableGrid"/>
        <w:tblW w:type="auto" w:w="0"/>
        <w:jc w:val="left"/>
        <w:tblLayout w:type="fixed"/>
        <w:tblLook w:firstColumn="1" w:firstRow="1" w:lastColumn="0" w:lastRow="0" w:noHBand="0" w:noVBand="1" w:val="04A0"/>
      </w:tblPr>
      <w:tblGrid>
        <w:gridCol w:w="4385"/>
        <w:gridCol w:w="1754"/>
        <w:gridCol w:w="1754"/>
        <w:gridCol w:w="1754"/>
      </w:tblGrid>
      <w:tr>
        <w:trPr>
          <w:tblHeader w:val="true"/>
        </w:trPr>
        <w:tc>
          <w:tcPr>
            <w:tcW w:type="dxa" w:w="4385"/>
            <w:shd w:val="clear" w:color="auto" w:fill="D9E2F3"/>
          </w:tcPr>
          <w:p>
            <w:pPr>
              <w:keepNext/>
              <w:spacing w:after="0"/>
            </w:pPr>
            <w:r>
              <w:rPr>
                <w:b/>
                <w:sz w:val="19"/>
              </w:rPr>
              <w:t>Topic</w:t>
            </w:r>
          </w:p>
        </w:tc>
        <w:tc>
          <w:tcPr>
            <w:tcW w:type="dxa" w:w="1754"/>
            <w:shd w:val="clear" w:color="auto" w:fill="D9E2F3"/>
          </w:tcPr>
          <w:p>
            <w:pPr>
              <w:keepNext/>
              <w:spacing w:after="0"/>
            </w:pPr>
            <w:r>
              <w:rPr>
                <w:b/>
                <w:sz w:val="19"/>
              </w:rPr>
              <w:t>State answer</w:t>
            </w:r>
          </w:p>
        </w:tc>
        <w:tc>
          <w:tcPr>
            <w:tcW w:type="dxa" w:w="1754"/>
            <w:shd w:val="clear" w:color="auto" w:fill="D9E2F3"/>
          </w:tcPr>
          <w:p>
            <w:pPr>
              <w:keepNext/>
              <w:spacing w:after="0"/>
            </w:pPr>
            <w:r>
              <w:rPr>
                <w:b/>
                <w:sz w:val="19"/>
              </w:rPr>
              <w:t>Statute/source</w:t>
            </w:r>
          </w:p>
        </w:tc>
        <w:tc>
          <w:tcPr>
            <w:tcW w:type="dxa" w:w="1754"/>
            <w:shd w:val="clear" w:color="auto" w:fill="D9E2F3"/>
          </w:tcPr>
          <w:p>
            <w:pPr>
              <w:keepNext/>
              <w:spacing w:after="0"/>
            </w:pPr>
            <w:r>
              <w:rPr>
                <w:b/>
                <w:sz w:val="19"/>
              </w:rPr>
              <w:t>Reviewed by/date</w:t>
            </w:r>
          </w:p>
        </w:tc>
      </w:tr>
      <w:tr>
        <w:trPr>
          <w:cantSplit w:val="true"/>
          <w:trHeight w:val="432"/>
        </w:trPr>
        <w:tc>
          <w:tcPr>
            <w:tcW w:type="dxa" w:w="4385"/>
          </w:tcPr>
          <w:p>
            <w:pPr>
              <w:keepNext/>
              <w:spacing w:after="0"/>
            </w:pPr>
            <w:r>
              <w:rPr>
                <w:b w:val="0"/>
                <w:sz w:val="19"/>
              </w:rPr>
              <w:t>Does the state prohibit or restrict the corporate practice of medicine?</w:t>
            </w:r>
          </w:p>
        </w:tc>
        <w:tc>
          <w:tcPr>
            <w:tcW w:type="dxa" w:w="1754"/>
          </w:tcPr>
          <w:p>
            <w:pPr>
              <w:keepNext/>
              <w:spacing w:after="0"/>
            </w:pPr>
          </w:p>
        </w:tc>
        <w:tc>
          <w:tcPr>
            <w:tcW w:type="dxa" w:w="1754"/>
          </w:tcPr>
          <w:p>
            <w:pPr>
              <w:keepNext/>
              <w:spacing w:after="0"/>
            </w:pPr>
          </w:p>
        </w:tc>
        <w:tc>
          <w:tcPr>
            <w:tcW w:type="dxa" w:w="1754"/>
          </w:tcPr>
          <w:p>
            <w:pPr>
              <w:keepNext/>
              <w:spacing w:after="0"/>
            </w:pPr>
          </w:p>
        </w:tc>
      </w:tr>
      <w:tr>
        <w:trPr>
          <w:cantSplit w:val="true"/>
          <w:trHeight w:val="432"/>
        </w:trPr>
        <w:tc>
          <w:tcPr>
            <w:tcW w:type="dxa" w:w="4385"/>
          </w:tcPr>
          <w:p>
            <w:pPr>
              <w:keepNext/>
              <w:spacing w:after="0"/>
            </w:pPr>
            <w:r>
              <w:rPr>
                <w:b w:val="0"/>
                <w:sz w:val="19"/>
              </w:rPr>
              <w:t>Must physicians (PI, Sub-I) be employed by, or contract through, a professional corporation owned by licensed physicians?</w:t>
            </w:r>
          </w:p>
        </w:tc>
        <w:tc>
          <w:tcPr>
            <w:tcW w:type="dxa" w:w="1754"/>
          </w:tcPr>
          <w:p>
            <w:pPr>
              <w:keepNext/>
              <w:spacing w:after="0"/>
            </w:pPr>
          </w:p>
        </w:tc>
        <w:tc>
          <w:tcPr>
            <w:tcW w:type="dxa" w:w="1754"/>
          </w:tcPr>
          <w:p>
            <w:pPr>
              <w:keepNext/>
              <w:spacing w:after="0"/>
            </w:pPr>
          </w:p>
        </w:tc>
        <w:tc>
          <w:tcPr>
            <w:tcW w:type="dxa" w:w="1754"/>
          </w:tcPr>
          <w:p>
            <w:pPr>
              <w:keepNext/>
              <w:spacing w:after="0"/>
            </w:pPr>
          </w:p>
        </w:tc>
      </w:tr>
      <w:tr>
        <w:trPr>
          <w:cantSplit w:val="true"/>
          <w:trHeight w:val="432"/>
        </w:trPr>
        <w:tc>
          <w:tcPr>
            <w:tcW w:type="dxa" w:w="4385"/>
          </w:tcPr>
          <w:p>
            <w:pPr>
              <w:keepNext/>
              <w:spacing w:after="0"/>
            </w:pPr>
            <w:r>
              <w:rPr>
                <w:b w:val="0"/>
                <w:sz w:val="19"/>
              </w:rPr>
              <w:t>Limits on a management services organization's control over clinical decisions, staffing, fees or fee splitting</w:t>
            </w:r>
          </w:p>
        </w:tc>
        <w:tc>
          <w:tcPr>
            <w:tcW w:type="dxa" w:w="1754"/>
          </w:tcPr>
          <w:p>
            <w:pPr>
              <w:keepNext/>
              <w:spacing w:after="0"/>
            </w:pPr>
          </w:p>
        </w:tc>
        <w:tc>
          <w:tcPr>
            <w:tcW w:type="dxa" w:w="1754"/>
          </w:tcPr>
          <w:p>
            <w:pPr>
              <w:keepNext/>
              <w:spacing w:after="0"/>
            </w:pPr>
          </w:p>
        </w:tc>
        <w:tc>
          <w:tcPr>
            <w:tcW w:type="dxa" w:w="1754"/>
          </w:tcPr>
          <w:p>
            <w:pPr>
              <w:keepNext/>
              <w:spacing w:after="0"/>
            </w:pPr>
          </w:p>
        </w:tc>
      </w:tr>
      <w:tr>
        <w:trPr>
          <w:cantSplit w:val="true"/>
          <w:trHeight w:val="432"/>
        </w:trPr>
        <w:tc>
          <w:tcPr>
            <w:tcW w:type="dxa" w:w="4385"/>
          </w:tcPr>
          <w:p>
            <w:pPr>
              <w:spacing w:after="0"/>
            </w:pPr>
            <w:r>
              <w:rPr>
                <w:b w:val="0"/>
                <w:sz w:val="19"/>
              </w:rPr>
              <w:t>Effect on network staffing, contracting and CTA signature for this site (counsel's conclusion)</w:t>
            </w:r>
          </w:p>
        </w:tc>
        <w:tc>
          <w:tcPr>
            <w:tcW w:type="dxa" w:w="1754"/>
          </w:tcPr>
          <w:p>
            <w:pPr>
              <w:spacing w:after="0"/>
            </w:pPr>
          </w:p>
        </w:tc>
        <w:tc>
          <w:tcPr>
            <w:tcW w:type="dxa" w:w="1754"/>
          </w:tcPr>
          <w:p>
            <w:pPr>
              <w:spacing w:after="0"/>
            </w:pPr>
          </w:p>
        </w:tc>
        <w:tc>
          <w:tcPr>
            <w:tcW w:type="dxa" w:w="1754"/>
          </w:tcPr>
          <w:p>
            <w:pPr>
              <w:spacing w:after="0"/>
            </w:pPr>
          </w:p>
        </w:tc>
      </w:tr>
    </w:tbl>
    <w:p>
      <w:pPr>
        <w:spacing w:after="40"/>
      </w:pPr>
    </w:p>
    <w:p>
      <w:pPr>
        <w:pStyle w:val="Heading2"/>
      </w:pPr>
      <w:r>
        <w:t>3.16 Other state rules</w:t>
      </w:r>
    </w:p>
    <w:p>
      <w:pPr/>
      <w:r>
        <w:rPr>
          <w:b w:val="0"/>
        </w:rPr>
        <w:t>Use this table for anything else counsel or the IRB flags (for example state rules on participant payments, advertising, specimen export, or HIV test consent).</w:t>
      </w:r>
    </w:p>
    <w:tbl>
      <w:tblPr>
        <w:tblStyle w:val="TableGrid"/>
        <w:tblW w:type="auto" w:w="0"/>
        <w:jc w:val="left"/>
        <w:tblLayout w:type="fixed"/>
        <w:tblLook w:firstColumn="1" w:firstRow="1" w:lastColumn="0" w:lastRow="0" w:noHBand="0" w:noVBand="1" w:val="04A0"/>
      </w:tblPr>
      <w:tblGrid>
        <w:gridCol w:w="4385"/>
        <w:gridCol w:w="1754"/>
        <w:gridCol w:w="1754"/>
        <w:gridCol w:w="1754"/>
      </w:tblGrid>
      <w:tr>
        <w:trPr>
          <w:tblHeader w:val="true"/>
        </w:trPr>
        <w:tc>
          <w:tcPr>
            <w:tcW w:type="dxa" w:w="4385"/>
            <w:shd w:val="clear" w:color="auto" w:fill="D9E2F3"/>
          </w:tcPr>
          <w:p>
            <w:pPr>
              <w:keepNext/>
              <w:spacing w:after="0"/>
            </w:pPr>
            <w:r>
              <w:rPr>
                <w:b/>
                <w:sz w:val="19"/>
              </w:rPr>
              <w:t>Topic</w:t>
            </w:r>
          </w:p>
        </w:tc>
        <w:tc>
          <w:tcPr>
            <w:tcW w:type="dxa" w:w="1754"/>
            <w:shd w:val="clear" w:color="auto" w:fill="D9E2F3"/>
          </w:tcPr>
          <w:p>
            <w:pPr>
              <w:keepNext/>
              <w:spacing w:after="0"/>
            </w:pPr>
            <w:r>
              <w:rPr>
                <w:b/>
                <w:sz w:val="19"/>
              </w:rPr>
              <w:t>State answer</w:t>
            </w:r>
          </w:p>
        </w:tc>
        <w:tc>
          <w:tcPr>
            <w:tcW w:type="dxa" w:w="1754"/>
            <w:shd w:val="clear" w:color="auto" w:fill="D9E2F3"/>
          </w:tcPr>
          <w:p>
            <w:pPr>
              <w:keepNext/>
              <w:spacing w:after="0"/>
            </w:pPr>
            <w:r>
              <w:rPr>
                <w:b/>
                <w:sz w:val="19"/>
              </w:rPr>
              <w:t>Statute/source</w:t>
            </w:r>
          </w:p>
        </w:tc>
        <w:tc>
          <w:tcPr>
            <w:tcW w:type="dxa" w:w="1754"/>
            <w:shd w:val="clear" w:color="auto" w:fill="D9E2F3"/>
          </w:tcPr>
          <w:p>
            <w:pPr>
              <w:keepNext/>
              <w:spacing w:after="0"/>
            </w:pPr>
            <w:r>
              <w:rPr>
                <w:b/>
                <w:sz w:val="19"/>
              </w:rPr>
              <w:t>Reviewed by/date</w:t>
            </w:r>
          </w:p>
        </w:tc>
      </w:tr>
      <w:tr>
        <w:trPr>
          <w:cantSplit w:val="true"/>
          <w:trHeight w:val="432"/>
        </w:trPr>
        <w:tc>
          <w:tcPr>
            <w:tcW w:type="dxa" w:w="4385"/>
          </w:tcPr>
          <w:p>
            <w:pPr>
              <w:spacing w:after="0"/>
            </w:pPr>
            <w:r>
              <w:rPr>
                <w:b w:val="0"/>
                <w:sz w:val="19"/>
              </w:rPr>
              <w:t xml:space="preserve">State all-payer anti-kickback, self-referral or fee-splitting law: does it apply to payments for referrals or enrollment, recruitment vendor fees, network service fees or management fees even where no federal health care program business is involved? (SOP-300 5.6 and 5.7; SOP-104; SOP-902) </w:t>
            </w:r>
            <w:r>
              <w:rPr>
                <w:b w:val="0"/>
                <w:sz w:val="19"/>
                <w:highlight w:val="yellow"/>
              </w:rPr>
              <w:t>[LEGAL COUNSEL]</w:t>
            </w:r>
            <w:r>
              <w:rPr>
                <w:b w:val="0"/>
                <w:sz w:val="19"/>
              </w:rPr>
              <w:t xml:space="preserve"> completes this row.</w:t>
            </w:r>
          </w:p>
        </w:tc>
        <w:tc>
          <w:tcPr>
            <w:tcW w:type="dxa" w:w="1754"/>
          </w:tcPr>
          <w:p>
            <w:pPr>
              <w:spacing w:after="0"/>
            </w:pPr>
          </w:p>
        </w:tc>
        <w:tc>
          <w:tcPr>
            <w:tcW w:type="dxa" w:w="1754"/>
          </w:tcPr>
          <w:p>
            <w:pPr>
              <w:spacing w:after="0"/>
            </w:pPr>
          </w:p>
        </w:tc>
        <w:tc>
          <w:tcPr>
            <w:tcW w:type="dxa" w:w="1754"/>
          </w:tcPr>
          <w:p>
            <w:pPr>
              <w:spacing w:after="0"/>
            </w:pPr>
          </w:p>
        </w:tc>
      </w:tr>
    </w:tbl>
    <w:p>
      <w:pPr>
        <w:spacing w:after="40"/>
      </w:pPr>
    </w:p>
    <w:p>
      <w:pPr>
        <w:pStyle w:val="Heading1"/>
      </w:pPr>
      <w:r>
        <w:t>4. Review and sign-off</w:t>
      </w:r>
    </w:p>
    <w:tbl>
      <w:tblPr>
        <w:tblStyle w:val="TableGrid"/>
        <w:tblW w:type="auto" w:w="0"/>
        <w:jc w:val="left"/>
        <w:tblLayout w:type="fixed"/>
        <w:tblLook w:firstColumn="1" w:firstRow="1" w:lastColumn="0" w:lastRow="0" w:noHBand="0" w:noVBand="1" w:val="04A0"/>
      </w:tblPr>
      <w:tblGrid>
        <w:gridCol w:w="973"/>
        <w:gridCol w:w="2256"/>
        <w:gridCol w:w="1954"/>
        <w:gridCol w:w="2177"/>
        <w:gridCol w:w="1064"/>
        <w:gridCol w:w="1221"/>
      </w:tblGrid>
      <w:tr>
        <w:trPr>
          <w:tblHeader w:val="true"/>
        </w:trPr>
        <w:tc>
          <w:tcPr>
            <w:tcW w:type="dxa" w:w="973"/>
            <w:shd w:val="clear" w:color="auto" w:fill="D9E2F3"/>
          </w:tcPr>
          <w:p>
            <w:pPr>
              <w:spacing w:after="0"/>
            </w:pPr>
            <w:r>
              <w:rPr>
                <w:b/>
                <w:sz w:val="19"/>
              </w:rPr>
              <w:t>Review date</w:t>
            </w:r>
          </w:p>
        </w:tc>
        <w:tc>
          <w:tcPr>
            <w:tcW w:type="dxa" w:w="2256"/>
            <w:shd w:val="clear" w:color="auto" w:fill="D9E2F3"/>
          </w:tcPr>
          <w:p>
            <w:pPr>
              <w:spacing w:after="0"/>
            </w:pPr>
            <w:r>
              <w:rPr>
                <w:b/>
                <w:sz w:val="19"/>
              </w:rPr>
              <w:t>Reviewed by (name and role)</w:t>
            </w:r>
          </w:p>
        </w:tc>
        <w:tc>
          <w:tcPr>
            <w:tcW w:type="dxa" w:w="1954"/>
            <w:shd w:val="clear" w:color="auto" w:fill="D9E2F3"/>
          </w:tcPr>
          <w:p>
            <w:pPr>
              <w:spacing w:after="0"/>
            </w:pPr>
            <w:r>
              <w:rPr>
                <w:b/>
                <w:sz w:val="19"/>
              </w:rPr>
              <w:t>Counsel consulted (Y/N)</w:t>
            </w:r>
          </w:p>
        </w:tc>
        <w:tc>
          <w:tcPr>
            <w:tcW w:type="dxa" w:w="2177"/>
            <w:shd w:val="clear" w:color="auto" w:fill="D9E2F3"/>
          </w:tcPr>
          <w:p>
            <w:pPr>
              <w:spacing w:after="0"/>
            </w:pPr>
            <w:r>
              <w:rPr>
                <w:b/>
                <w:sz w:val="19"/>
              </w:rPr>
              <w:t>IRB guidance checked (Y/N)</w:t>
            </w:r>
          </w:p>
        </w:tc>
        <w:tc>
          <w:tcPr>
            <w:tcW w:type="dxa" w:w="1064"/>
            <w:shd w:val="clear" w:color="auto" w:fill="D9E2F3"/>
          </w:tcPr>
          <w:p>
            <w:pPr>
              <w:spacing w:after="0"/>
            </w:pPr>
            <w:r>
              <w:rPr>
                <w:b/>
                <w:sz w:val="19"/>
              </w:rPr>
              <w:t>Changes made</w:t>
            </w:r>
          </w:p>
        </w:tc>
        <w:tc>
          <w:tcPr>
            <w:tcW w:type="dxa" w:w="1221"/>
            <w:shd w:val="clear" w:color="auto" w:fill="D9E2F3"/>
          </w:tcPr>
          <w:p>
            <w:pPr>
              <w:spacing w:after="0"/>
            </w:pPr>
            <w:r>
              <w:rPr>
                <w:b/>
                <w:sz w:val="19"/>
              </w:rPr>
              <w:t>Signature</w:t>
            </w:r>
          </w:p>
        </w:tc>
      </w:tr>
    </w:tbl>
    <w:p>
      <w:pPr>
        <w:spacing w:after="40"/>
      </w:pPr>
    </w:p>
    <w:p>
      <w:pPr>
        <w:pStyle w:val="Heading1"/>
      </w:pPr>
      <w:r>
        <w:t>5. Illustrative examples (verify before relying)</w:t>
      </w:r>
    </w:p>
    <w:p>
      <w:pPr/>
      <w:r>
        <w:rPr>
          <w:b w:val="0"/>
        </w:rPr>
        <w:t xml:space="preserve">The entries below were checked against the sources named on 23 October 2026. They are examples of how to fill in the worksheet, not legal advice. Laws change, and courts and IRBs interpret them. </w:t>
      </w:r>
      <w:r>
        <w:rPr>
          <w:b/>
        </w:rPr>
        <w:t>Verify before relying</w:t>
      </w:r>
      <w:r>
        <w:rPr>
          <w:b w:val="0"/>
        </w:rPr>
        <w:t>: confirm each answer with counsel and the IRB, then record it in the site's own worksheet.</w:t>
      </w:r>
    </w:p>
    <w:p>
      <w:pPr>
        <w:pStyle w:val="Heading2"/>
      </w:pPr>
      <w:r>
        <w:t>5.1 California (illustrative only, verify before relying)</w:t>
      </w:r>
    </w:p>
    <w:tbl>
      <w:tblPr>
        <w:tblStyle w:val="TableGrid"/>
        <w:tblW w:type="auto" w:w="0"/>
        <w:jc w:val="left"/>
        <w:tblLayout w:type="fixed"/>
        <w:tblLook w:firstColumn="1" w:firstRow="1" w:lastColumn="0" w:lastRow="0" w:noHBand="0" w:noVBand="1" w:val="04A0"/>
      </w:tblPr>
      <w:tblGrid>
        <w:gridCol w:w="1532"/>
        <w:gridCol w:w="3569"/>
        <w:gridCol w:w="2323"/>
        <w:gridCol w:w="2223"/>
      </w:tblGrid>
      <w:tr>
        <w:trPr>
          <w:tblHeader w:val="true"/>
        </w:trPr>
        <w:tc>
          <w:tcPr>
            <w:tcW w:type="dxa" w:w="1532"/>
            <w:shd w:val="clear" w:color="auto" w:fill="D9E2F3"/>
          </w:tcPr>
          <w:p>
            <w:pPr>
              <w:spacing w:after="0"/>
            </w:pPr>
            <w:r>
              <w:rPr>
                <w:b/>
                <w:sz w:val="19"/>
              </w:rPr>
              <w:t>Topic</w:t>
            </w:r>
          </w:p>
        </w:tc>
        <w:tc>
          <w:tcPr>
            <w:tcW w:type="dxa" w:w="3569"/>
            <w:shd w:val="clear" w:color="auto" w:fill="D9E2F3"/>
          </w:tcPr>
          <w:p>
            <w:pPr>
              <w:spacing w:after="0"/>
            </w:pPr>
            <w:r>
              <w:rPr>
                <w:b/>
                <w:sz w:val="19"/>
              </w:rPr>
              <w:t>State answer</w:t>
            </w:r>
          </w:p>
        </w:tc>
        <w:tc>
          <w:tcPr>
            <w:tcW w:type="dxa" w:w="2323"/>
            <w:shd w:val="clear" w:color="auto" w:fill="D9E2F3"/>
          </w:tcPr>
          <w:p>
            <w:pPr>
              <w:spacing w:after="0"/>
            </w:pPr>
            <w:r>
              <w:rPr>
                <w:b/>
                <w:sz w:val="19"/>
              </w:rPr>
              <w:t>Statute/source</w:t>
            </w:r>
          </w:p>
        </w:tc>
        <w:tc>
          <w:tcPr>
            <w:tcW w:type="dxa" w:w="2223"/>
            <w:shd w:val="clear" w:color="auto" w:fill="D9E2F3"/>
          </w:tcPr>
          <w:p>
            <w:pPr>
              <w:spacing w:after="0"/>
            </w:pPr>
            <w:r>
              <w:rPr>
                <w:b/>
                <w:sz w:val="19"/>
              </w:rPr>
              <w:t>Reviewed by/date</w:t>
            </w:r>
          </w:p>
        </w:tc>
      </w:tr>
      <w:tr>
        <w:trPr>
          <w:cantSplit w:val="true"/>
        </w:trPr>
        <w:tc>
          <w:tcPr>
            <w:tcW w:type="dxa" w:w="1532"/>
          </w:tcPr>
          <w:p>
            <w:pPr>
              <w:spacing w:after="0"/>
            </w:pPr>
            <w:r>
              <w:rPr>
                <w:b w:val="0"/>
                <w:sz w:val="19"/>
              </w:rPr>
              <w:t>Age of majority</w:t>
            </w:r>
          </w:p>
        </w:tc>
        <w:tc>
          <w:tcPr>
            <w:tcW w:type="dxa" w:w="3569"/>
          </w:tcPr>
          <w:p>
            <w:pPr>
              <w:spacing w:after="0"/>
            </w:pPr>
            <w:r>
              <w:rPr>
                <w:b w:val="0"/>
                <w:sz w:val="19"/>
              </w:rPr>
              <w:t>18</w:t>
            </w:r>
          </w:p>
        </w:tc>
        <w:tc>
          <w:tcPr>
            <w:tcW w:type="dxa" w:w="2323"/>
          </w:tcPr>
          <w:p>
            <w:pPr>
              <w:spacing w:after="0"/>
            </w:pPr>
            <w:r>
              <w:rPr>
                <w:b w:val="0"/>
                <w:sz w:val="19"/>
              </w:rPr>
              <w:t>Family Code 6500</w:t>
            </w:r>
          </w:p>
        </w:tc>
        <w:tc>
          <w:tcPr>
            <w:tcW w:type="dxa" w:w="2223"/>
          </w:tcPr>
          <w:p>
            <w:pPr>
              <w:spacing w:after="0"/>
            </w:pPr>
            <w:r>
              <w:rPr>
                <w:b w:val="0"/>
                <w:sz w:val="19"/>
              </w:rPr>
              <w:t>Not reviewed. Verify before relying.</w:t>
            </w:r>
          </w:p>
        </w:tc>
      </w:tr>
      <w:tr>
        <w:trPr>
          <w:cantSplit w:val="true"/>
        </w:trPr>
        <w:tc>
          <w:tcPr>
            <w:tcW w:type="dxa" w:w="1532"/>
          </w:tcPr>
          <w:p>
            <w:pPr>
              <w:spacing w:after="0"/>
            </w:pPr>
            <w:r>
              <w:rPr>
                <w:b w:val="0"/>
                <w:sz w:val="19"/>
              </w:rPr>
              <w:t>LAR for research</w:t>
            </w:r>
          </w:p>
        </w:tc>
        <w:tc>
          <w:tcPr>
            <w:tcW w:type="dxa" w:w="3569"/>
          </w:tcPr>
          <w:p>
            <w:pPr>
              <w:spacing w:after="0"/>
            </w:pPr>
            <w:r>
              <w:rPr>
                <w:b w:val="0"/>
                <w:sz w:val="19"/>
              </w:rPr>
              <w:t>Surrogate consent is allowed only for medical experiments relating to the cognitive impairment, lack of capacity, or serious or life-threatening diseases and conditions of participants. Non-emergency priority: agent under an advance health care directive; conservator or guardian with health care authority; spouse; registered domestic partner; adult child; custodial parent; adult sibling; adult grandchild; closest available adult relative. In an emergency room setting only the first seven may consent. Disagreement at the same level means no consent. A higher-priority refusal cannot be overridden by a lower-priority consent. Surrogates may not be paid.</w:t>
            </w:r>
          </w:p>
        </w:tc>
        <w:tc>
          <w:tcPr>
            <w:tcW w:type="dxa" w:w="2323"/>
          </w:tcPr>
          <w:p>
            <w:pPr>
              <w:spacing w:after="0"/>
            </w:pPr>
            <w:r>
              <w:rPr>
                <w:b w:val="0"/>
                <w:sz w:val="19"/>
              </w:rPr>
              <w:t>Health and Safety Code 24178</w:t>
            </w:r>
          </w:p>
        </w:tc>
        <w:tc>
          <w:tcPr>
            <w:tcW w:type="dxa" w:w="2223"/>
          </w:tcPr>
          <w:p>
            <w:pPr>
              <w:spacing w:after="0"/>
            </w:pPr>
            <w:r>
              <w:rPr>
                <w:b w:val="0"/>
                <w:sz w:val="19"/>
              </w:rPr>
              <w:t>Not reviewed. Verify before relying.</w:t>
            </w:r>
          </w:p>
        </w:tc>
      </w:tr>
      <w:tr>
        <w:trPr>
          <w:cantSplit w:val="true"/>
        </w:trPr>
        <w:tc>
          <w:tcPr>
            <w:tcW w:type="dxa" w:w="1532"/>
          </w:tcPr>
          <w:p>
            <w:pPr>
              <w:spacing w:after="0"/>
            </w:pPr>
            <w:r>
              <w:rPr>
                <w:b w:val="0"/>
                <w:sz w:val="19"/>
              </w:rPr>
              <w:t>Surrogate statute extends to research</w:t>
            </w:r>
          </w:p>
        </w:tc>
        <w:tc>
          <w:tcPr>
            <w:tcW w:type="dxa" w:w="3569"/>
          </w:tcPr>
          <w:p>
            <w:pPr>
              <w:spacing w:after="0"/>
            </w:pPr>
            <w:r>
              <w:rPr>
                <w:b w:val="0"/>
                <w:sz w:val="19"/>
              </w:rPr>
              <w:t>Yes, through the research-specific statute above</w:t>
            </w:r>
          </w:p>
        </w:tc>
        <w:tc>
          <w:tcPr>
            <w:tcW w:type="dxa" w:w="2323"/>
          </w:tcPr>
          <w:p>
            <w:pPr>
              <w:spacing w:after="0"/>
            </w:pPr>
            <w:r>
              <w:rPr>
                <w:b w:val="0"/>
                <w:sz w:val="19"/>
              </w:rPr>
              <w:t>Health and Safety Code 24178</w:t>
            </w:r>
          </w:p>
        </w:tc>
        <w:tc>
          <w:tcPr>
            <w:tcW w:type="dxa" w:w="2223"/>
          </w:tcPr>
          <w:p>
            <w:pPr>
              <w:spacing w:after="0"/>
            </w:pPr>
            <w:r>
              <w:rPr>
                <w:b w:val="0"/>
                <w:sz w:val="19"/>
              </w:rPr>
              <w:t>Not reviewed. Verify before relying.</w:t>
            </w:r>
          </w:p>
        </w:tc>
      </w:tr>
      <w:tr>
        <w:trPr>
          <w:cantSplit w:val="true"/>
        </w:trPr>
        <w:tc>
          <w:tcPr>
            <w:tcW w:type="dxa" w:w="1532"/>
          </w:tcPr>
          <w:p>
            <w:pPr>
              <w:spacing w:after="0"/>
            </w:pPr>
            <w:r>
              <w:rPr>
                <w:b w:val="0"/>
                <w:sz w:val="19"/>
              </w:rPr>
              <w:t>Minors consenting for themselves</w:t>
            </w:r>
          </w:p>
        </w:tc>
        <w:tc>
          <w:tcPr>
            <w:tcW w:type="dxa" w:w="3569"/>
          </w:tcPr>
          <w:p>
            <w:pPr>
              <w:spacing w:after="0"/>
            </w:pPr>
            <w:r>
              <w:rPr>
                <w:b w:val="0"/>
                <w:sz w:val="19"/>
              </w:rPr>
              <w:t>None for research without IRB approval. Treatment consent exceptions do not apply to research.</w:t>
            </w:r>
          </w:p>
        </w:tc>
        <w:tc>
          <w:tcPr>
            <w:tcW w:type="dxa" w:w="2323"/>
          </w:tcPr>
          <w:p>
            <w:pPr>
              <w:spacing w:after="0"/>
            </w:pPr>
            <w:r>
              <w:rPr>
                <w:b w:val="0"/>
                <w:sz w:val="19"/>
              </w:rPr>
              <w:t>21 CFR 50 Subpart D; IRB policy</w:t>
            </w:r>
          </w:p>
        </w:tc>
        <w:tc>
          <w:tcPr>
            <w:tcW w:type="dxa" w:w="2223"/>
          </w:tcPr>
          <w:p>
            <w:pPr>
              <w:spacing w:after="0"/>
            </w:pPr>
            <w:r>
              <w:rPr>
                <w:b w:val="0"/>
                <w:sz w:val="19"/>
              </w:rPr>
              <w:t>Not reviewed. Verify before relying.</w:t>
            </w:r>
          </w:p>
        </w:tc>
      </w:tr>
      <w:tr>
        <w:trPr>
          <w:cantSplit w:val="true"/>
        </w:trPr>
        <w:tc>
          <w:tcPr>
            <w:tcW w:type="dxa" w:w="1532"/>
          </w:tcPr>
          <w:p>
            <w:pPr>
              <w:spacing w:after="0"/>
            </w:pPr>
            <w:r>
              <w:rPr>
                <w:b w:val="0"/>
                <w:sz w:val="19"/>
              </w:rPr>
              <w:t>Emancipated minors</w:t>
            </w:r>
          </w:p>
        </w:tc>
        <w:tc>
          <w:tcPr>
            <w:tcW w:type="dxa" w:w="3569"/>
          </w:tcPr>
          <w:p>
            <w:pPr>
              <w:spacing w:after="0"/>
            </w:pPr>
            <w:r>
              <w:rPr>
                <w:b w:val="0"/>
                <w:sz w:val="19"/>
              </w:rPr>
              <w:t>Emancipated by marriage, active military duty, or court declaration. An emancipated minor is treated as an adult for consent to medical care.</w:t>
            </w:r>
          </w:p>
        </w:tc>
        <w:tc>
          <w:tcPr>
            <w:tcW w:type="dxa" w:w="2323"/>
          </w:tcPr>
          <w:p>
            <w:pPr>
              <w:spacing w:after="0"/>
            </w:pPr>
            <w:r>
              <w:rPr>
                <w:b w:val="0"/>
                <w:sz w:val="19"/>
              </w:rPr>
              <w:t>Family Code 7002, 7050</w:t>
            </w:r>
          </w:p>
        </w:tc>
        <w:tc>
          <w:tcPr>
            <w:tcW w:type="dxa" w:w="2223"/>
          </w:tcPr>
          <w:p>
            <w:pPr>
              <w:spacing w:after="0"/>
            </w:pPr>
            <w:r>
              <w:rPr>
                <w:b w:val="0"/>
                <w:sz w:val="19"/>
              </w:rPr>
              <w:t>Not reviewed. Verify before relying.</w:t>
            </w:r>
          </w:p>
        </w:tc>
      </w:tr>
      <w:tr>
        <w:trPr>
          <w:cantSplit w:val="true"/>
        </w:trPr>
        <w:tc>
          <w:tcPr>
            <w:tcW w:type="dxa" w:w="1532"/>
          </w:tcPr>
          <w:p>
            <w:pPr>
              <w:spacing w:after="0"/>
            </w:pPr>
            <w:r>
              <w:rPr>
                <w:b w:val="0"/>
                <w:sz w:val="19"/>
              </w:rPr>
              <w:t>State research law</w:t>
            </w:r>
          </w:p>
        </w:tc>
        <w:tc>
          <w:tcPr>
            <w:tcW w:type="dxa" w:w="3569"/>
          </w:tcPr>
          <w:p>
            <w:pPr>
              <w:spacing w:after="0"/>
            </w:pPr>
            <w:r>
              <w:rPr>
                <w:b w:val="0"/>
                <w:sz w:val="19"/>
              </w:rPr>
              <w:t>Protection of Human Subjects in Medical Experimentation Act. A participant in a medical experiment must receive the Experimental Subject's Bill of Rights (ten listed rights) in a language they understand. Check with the IRB which provisions it applies to FDA-regulated studies.</w:t>
            </w:r>
          </w:p>
        </w:tc>
        <w:tc>
          <w:tcPr>
            <w:tcW w:type="dxa" w:w="2323"/>
          </w:tcPr>
          <w:p>
            <w:pPr>
              <w:spacing w:after="0"/>
            </w:pPr>
            <w:r>
              <w:rPr>
                <w:b w:val="0"/>
                <w:sz w:val="19"/>
              </w:rPr>
              <w:t>Health and Safety Code 24170 to 24179.5; Bill of Rights at 24172</w:t>
            </w:r>
          </w:p>
        </w:tc>
        <w:tc>
          <w:tcPr>
            <w:tcW w:type="dxa" w:w="2223"/>
          </w:tcPr>
          <w:p>
            <w:pPr>
              <w:spacing w:after="0"/>
            </w:pPr>
            <w:r>
              <w:rPr>
                <w:b w:val="0"/>
                <w:sz w:val="19"/>
              </w:rPr>
              <w:t>Not reviewed. Verify before relying.</w:t>
            </w:r>
          </w:p>
        </w:tc>
      </w:tr>
      <w:tr>
        <w:trPr>
          <w:cantSplit w:val="true"/>
        </w:trPr>
        <w:tc>
          <w:tcPr>
            <w:tcW w:type="dxa" w:w="1532"/>
          </w:tcPr>
          <w:p>
            <w:pPr>
              <w:spacing w:after="0"/>
            </w:pPr>
            <w:r>
              <w:rPr>
                <w:b w:val="0"/>
                <w:sz w:val="19"/>
              </w:rPr>
              <w:t>Genetic testing and privacy</w:t>
            </w:r>
          </w:p>
        </w:tc>
        <w:tc>
          <w:tcPr>
            <w:tcW w:type="dxa" w:w="3569"/>
          </w:tcPr>
          <w:p>
            <w:pPr>
              <w:spacing w:after="0"/>
            </w:pPr>
            <w:r>
              <w:rPr>
                <w:b w:val="0"/>
                <w:sz w:val="19"/>
              </w:rPr>
              <w:t>The Genetic Information Privacy Act applies mainly to direct-to-consumer genetic testing companies. Medical information is protected by the Confidentiality of Medical Information Act.</w:t>
            </w:r>
          </w:p>
        </w:tc>
        <w:tc>
          <w:tcPr>
            <w:tcW w:type="dxa" w:w="2323"/>
          </w:tcPr>
          <w:p>
            <w:pPr>
              <w:spacing w:after="0"/>
            </w:pPr>
            <w:r>
              <w:rPr>
                <w:b w:val="0"/>
                <w:sz w:val="19"/>
              </w:rPr>
              <w:t>Civil Code 56.18 to 56.186; Civil Code 56 and following</w:t>
            </w:r>
          </w:p>
        </w:tc>
        <w:tc>
          <w:tcPr>
            <w:tcW w:type="dxa" w:w="2223"/>
          </w:tcPr>
          <w:p>
            <w:pPr>
              <w:spacing w:after="0"/>
            </w:pPr>
            <w:r>
              <w:rPr>
                <w:b w:val="0"/>
                <w:sz w:val="19"/>
              </w:rPr>
              <w:t>Not reviewed. Verify before relying.</w:t>
            </w:r>
          </w:p>
        </w:tc>
      </w:tr>
      <w:tr>
        <w:trPr>
          <w:cantSplit w:val="true"/>
        </w:trPr>
        <w:tc>
          <w:tcPr>
            <w:tcW w:type="dxa" w:w="1532"/>
          </w:tcPr>
          <w:p>
            <w:pPr>
              <w:spacing w:after="0"/>
            </w:pPr>
            <w:r>
              <w:rPr>
                <w:b w:val="0"/>
                <w:sz w:val="19"/>
              </w:rPr>
              <w:t>Medical record retention</w:t>
            </w:r>
          </w:p>
        </w:tc>
        <w:tc>
          <w:tcPr>
            <w:tcW w:type="dxa" w:w="3569"/>
          </w:tcPr>
          <w:p>
            <w:pPr>
              <w:spacing w:after="0"/>
            </w:pPr>
            <w:r>
              <w:rPr>
                <w:b w:val="0"/>
                <w:sz w:val="19"/>
              </w:rPr>
              <w:t>No general retention statute for physician offices found. Hospitals: 7 years after discharge, and for minors at least 1 year after age 18 and not less than 7 years. Confirm the rule for the site's license type.</w:t>
            </w:r>
          </w:p>
        </w:tc>
        <w:tc>
          <w:tcPr>
            <w:tcW w:type="dxa" w:w="2323"/>
          </w:tcPr>
          <w:p>
            <w:pPr>
              <w:spacing w:after="0"/>
            </w:pPr>
            <w:r>
              <w:rPr>
                <w:b w:val="0"/>
                <w:sz w:val="19"/>
              </w:rPr>
              <w:t>22 CCR 70751(c) (hospitals)</w:t>
            </w:r>
          </w:p>
        </w:tc>
        <w:tc>
          <w:tcPr>
            <w:tcW w:type="dxa" w:w="2223"/>
          </w:tcPr>
          <w:p>
            <w:pPr>
              <w:spacing w:after="0"/>
            </w:pPr>
            <w:r>
              <w:rPr>
                <w:b w:val="0"/>
                <w:sz w:val="19"/>
              </w:rPr>
              <w:t>Not reviewed. Verify before relying.</w:t>
            </w:r>
          </w:p>
        </w:tc>
      </w:tr>
      <w:tr>
        <w:trPr>
          <w:cantSplit w:val="true"/>
        </w:trPr>
        <w:tc>
          <w:tcPr>
            <w:tcW w:type="dxa" w:w="1532"/>
          </w:tcPr>
          <w:p>
            <w:pPr>
              <w:spacing w:after="0"/>
            </w:pPr>
            <w:r>
              <w:rPr>
                <w:b w:val="0"/>
                <w:sz w:val="19"/>
              </w:rPr>
              <w:t>Controlled substances</w:t>
            </w:r>
          </w:p>
        </w:tc>
        <w:tc>
          <w:tcPr>
            <w:tcW w:type="dxa" w:w="3569"/>
          </w:tcPr>
          <w:p>
            <w:pPr>
              <w:spacing w:after="0"/>
            </w:pPr>
            <w:r>
              <w:rPr>
                <w:b w:val="0"/>
                <w:sz w:val="19"/>
              </w:rPr>
              <w:t>No separate state practitioner registration found. DEA registrants who prescribe must register with CURES (the state prescription drug monitoring program).</w:t>
            </w:r>
          </w:p>
        </w:tc>
        <w:tc>
          <w:tcPr>
            <w:tcW w:type="dxa" w:w="2323"/>
          </w:tcPr>
          <w:p>
            <w:pPr>
              <w:spacing w:after="0"/>
            </w:pPr>
            <w:r>
              <w:rPr>
                <w:b w:val="0"/>
                <w:sz w:val="19"/>
              </w:rPr>
              <w:t>Health and Safety Code 11165.1</w:t>
            </w:r>
          </w:p>
        </w:tc>
        <w:tc>
          <w:tcPr>
            <w:tcW w:type="dxa" w:w="2223"/>
          </w:tcPr>
          <w:p>
            <w:pPr>
              <w:spacing w:after="0"/>
            </w:pPr>
            <w:r>
              <w:rPr>
                <w:b w:val="0"/>
                <w:sz w:val="19"/>
              </w:rPr>
              <w:t>Not reviewed. Verify before relying.</w:t>
            </w:r>
          </w:p>
        </w:tc>
      </w:tr>
      <w:tr>
        <w:trPr>
          <w:cantSplit w:val="true"/>
        </w:trPr>
        <w:tc>
          <w:tcPr>
            <w:tcW w:type="dxa" w:w="1532"/>
          </w:tcPr>
          <w:p>
            <w:pPr>
              <w:spacing w:after="0"/>
            </w:pPr>
            <w:r>
              <w:rPr>
                <w:b w:val="0"/>
                <w:sz w:val="19"/>
              </w:rPr>
              <w:t>Data breach notification</w:t>
            </w:r>
          </w:p>
        </w:tc>
        <w:tc>
          <w:tcPr>
            <w:tcW w:type="dxa" w:w="3569"/>
          </w:tcPr>
          <w:p>
            <w:pPr>
              <w:spacing w:after="0"/>
            </w:pPr>
            <w:r>
              <w:rPr>
                <w:b w:val="0"/>
                <w:sz w:val="19"/>
              </w:rPr>
              <w:t>State breach statute applies. Licensed clinics and health facilities have a separate reporting duty to the California Department of Public Health.</w:t>
            </w:r>
          </w:p>
        </w:tc>
        <w:tc>
          <w:tcPr>
            <w:tcW w:type="dxa" w:w="2323"/>
          </w:tcPr>
          <w:p>
            <w:pPr>
              <w:spacing w:after="0"/>
            </w:pPr>
            <w:r>
              <w:rPr>
                <w:b w:val="0"/>
                <w:sz w:val="19"/>
              </w:rPr>
              <w:t>Civil Code 1798.82; Health and Safety Code 1280.15</w:t>
            </w:r>
          </w:p>
        </w:tc>
        <w:tc>
          <w:tcPr>
            <w:tcW w:type="dxa" w:w="2223"/>
          </w:tcPr>
          <w:p>
            <w:pPr>
              <w:spacing w:after="0"/>
            </w:pPr>
            <w:r>
              <w:rPr>
                <w:b w:val="0"/>
                <w:sz w:val="19"/>
              </w:rPr>
              <w:t>Not reviewed. Verify before relying.</w:t>
            </w:r>
          </w:p>
        </w:tc>
      </w:tr>
      <w:tr>
        <w:trPr>
          <w:cantSplit w:val="true"/>
        </w:trPr>
        <w:tc>
          <w:tcPr>
            <w:tcW w:type="dxa" w:w="1532"/>
          </w:tcPr>
          <w:p>
            <w:pPr>
              <w:spacing w:after="0"/>
            </w:pPr>
            <w:r>
              <w:rPr>
                <w:b w:val="0"/>
                <w:sz w:val="19"/>
              </w:rPr>
              <w:t>Mandatory reporting</w:t>
            </w:r>
          </w:p>
        </w:tc>
        <w:tc>
          <w:tcPr>
            <w:tcW w:type="dxa" w:w="3569"/>
          </w:tcPr>
          <w:p>
            <w:pPr>
              <w:spacing w:after="0"/>
            </w:pPr>
            <w:r>
              <w:rPr>
                <w:b w:val="0"/>
                <w:sz w:val="19"/>
              </w:rPr>
              <w:t>Child abuse (health practitioners are mandated reporters). Elder and dependent adult abuse.</w:t>
            </w:r>
          </w:p>
        </w:tc>
        <w:tc>
          <w:tcPr>
            <w:tcW w:type="dxa" w:w="2323"/>
          </w:tcPr>
          <w:p>
            <w:pPr>
              <w:spacing w:after="0"/>
            </w:pPr>
            <w:r>
              <w:rPr>
                <w:b w:val="0"/>
                <w:sz w:val="19"/>
              </w:rPr>
              <w:t>Penal Code 11165.7, 11166; Welfare and Institutions Code 15630</w:t>
            </w:r>
          </w:p>
        </w:tc>
        <w:tc>
          <w:tcPr>
            <w:tcW w:type="dxa" w:w="2223"/>
          </w:tcPr>
          <w:p>
            <w:pPr>
              <w:spacing w:after="0"/>
            </w:pPr>
            <w:r>
              <w:rPr>
                <w:b w:val="0"/>
                <w:sz w:val="19"/>
              </w:rPr>
              <w:t>Not reviewed. Verify before relying.</w:t>
            </w:r>
          </w:p>
        </w:tc>
      </w:tr>
    </w:tbl>
    <w:p>
      <w:pPr>
        <w:spacing w:after="40"/>
      </w:pPr>
    </w:p>
    <w:p>
      <w:pPr>
        <w:pStyle w:val="Heading2"/>
      </w:pPr>
      <w:r>
        <w:t>5.2 Maryland (illustrative only, verify before relying)</w:t>
      </w:r>
    </w:p>
    <w:tbl>
      <w:tblPr>
        <w:tblStyle w:val="TableGrid"/>
        <w:tblW w:type="auto" w:w="0"/>
        <w:jc w:val="left"/>
        <w:tblLayout w:type="fixed"/>
        <w:tblLook w:firstColumn="1" w:firstRow="1" w:lastColumn="0" w:lastRow="0" w:noHBand="0" w:noVBand="1" w:val="04A0"/>
      </w:tblPr>
      <w:tblGrid>
        <w:gridCol w:w="1532"/>
        <w:gridCol w:w="3745"/>
        <w:gridCol w:w="2033"/>
        <w:gridCol w:w="2336"/>
      </w:tblGrid>
      <w:tr>
        <w:trPr>
          <w:tblHeader w:val="true"/>
        </w:trPr>
        <w:tc>
          <w:tcPr>
            <w:tcW w:type="dxa" w:w="1532"/>
            <w:shd w:val="clear" w:color="auto" w:fill="D9E2F3"/>
          </w:tcPr>
          <w:p>
            <w:pPr>
              <w:spacing w:after="0"/>
            </w:pPr>
            <w:r>
              <w:rPr>
                <w:b/>
                <w:sz w:val="19"/>
              </w:rPr>
              <w:t>Topic</w:t>
            </w:r>
          </w:p>
        </w:tc>
        <w:tc>
          <w:tcPr>
            <w:tcW w:type="dxa" w:w="3745"/>
            <w:shd w:val="clear" w:color="auto" w:fill="D9E2F3"/>
          </w:tcPr>
          <w:p>
            <w:pPr>
              <w:spacing w:after="0"/>
            </w:pPr>
            <w:r>
              <w:rPr>
                <w:b/>
                <w:sz w:val="19"/>
              </w:rPr>
              <w:t>State answer</w:t>
            </w:r>
          </w:p>
        </w:tc>
        <w:tc>
          <w:tcPr>
            <w:tcW w:type="dxa" w:w="2033"/>
            <w:shd w:val="clear" w:color="auto" w:fill="D9E2F3"/>
          </w:tcPr>
          <w:p>
            <w:pPr>
              <w:spacing w:after="0"/>
            </w:pPr>
            <w:r>
              <w:rPr>
                <w:b/>
                <w:sz w:val="19"/>
              </w:rPr>
              <w:t>Statute/source</w:t>
            </w:r>
          </w:p>
        </w:tc>
        <w:tc>
          <w:tcPr>
            <w:tcW w:type="dxa" w:w="2336"/>
            <w:shd w:val="clear" w:color="auto" w:fill="D9E2F3"/>
          </w:tcPr>
          <w:p>
            <w:pPr>
              <w:spacing w:after="0"/>
            </w:pPr>
            <w:r>
              <w:rPr>
                <w:b/>
                <w:sz w:val="19"/>
              </w:rPr>
              <w:t>Reviewed by/date</w:t>
            </w:r>
          </w:p>
        </w:tc>
      </w:tr>
      <w:tr>
        <w:trPr>
          <w:cantSplit w:val="true"/>
        </w:trPr>
        <w:tc>
          <w:tcPr>
            <w:tcW w:type="dxa" w:w="1532"/>
          </w:tcPr>
          <w:p>
            <w:pPr>
              <w:spacing w:after="0"/>
            </w:pPr>
            <w:r>
              <w:rPr>
                <w:b w:val="0"/>
                <w:sz w:val="19"/>
              </w:rPr>
              <w:t>Age of majority</w:t>
            </w:r>
          </w:p>
        </w:tc>
        <w:tc>
          <w:tcPr>
            <w:tcW w:type="dxa" w:w="3745"/>
          </w:tcPr>
          <w:p>
            <w:pPr>
              <w:spacing w:after="0"/>
            </w:pPr>
            <w:r>
              <w:rPr>
                <w:b w:val="0"/>
                <w:sz w:val="19"/>
              </w:rPr>
              <w:t>18</w:t>
            </w:r>
          </w:p>
        </w:tc>
        <w:tc>
          <w:tcPr>
            <w:tcW w:type="dxa" w:w="2033"/>
          </w:tcPr>
          <w:p>
            <w:pPr>
              <w:spacing w:after="0"/>
            </w:pPr>
            <w:r>
              <w:rPr>
                <w:b w:val="0"/>
                <w:sz w:val="19"/>
              </w:rPr>
              <w:t>General Provisions 1-401</w:t>
            </w:r>
          </w:p>
        </w:tc>
        <w:tc>
          <w:tcPr>
            <w:tcW w:type="dxa" w:w="2336"/>
          </w:tcPr>
          <w:p>
            <w:pPr>
              <w:spacing w:after="0"/>
            </w:pPr>
            <w:r>
              <w:rPr>
                <w:b w:val="0"/>
                <w:sz w:val="19"/>
              </w:rPr>
              <w:t>Not reviewed. Verify before relying.</w:t>
            </w:r>
          </w:p>
        </w:tc>
      </w:tr>
      <w:tr>
        <w:trPr>
          <w:cantSplit w:val="true"/>
        </w:trPr>
        <w:tc>
          <w:tcPr>
            <w:tcW w:type="dxa" w:w="1532"/>
          </w:tcPr>
          <w:p>
            <w:pPr>
              <w:spacing w:after="0"/>
            </w:pPr>
            <w:r>
              <w:rPr>
                <w:b w:val="0"/>
                <w:sz w:val="19"/>
              </w:rPr>
              <w:t>LAR for research</w:t>
            </w:r>
          </w:p>
        </w:tc>
        <w:tc>
          <w:tcPr>
            <w:tcW w:type="dxa" w:w="3745"/>
          </w:tcPr>
          <w:p>
            <w:pPr>
              <w:spacing w:after="0"/>
            </w:pPr>
            <w:r>
              <w:rPr>
                <w:b w:val="0"/>
                <w:sz w:val="19"/>
              </w:rPr>
              <w:t>No research-specific LAR priority statute found. At least one Maryland IRB limits consent for research to the competent adult, the parent of a minor, or an appointed legal guardian. Confirm the IRB of record's position before using any other surrogate.</w:t>
            </w:r>
          </w:p>
        </w:tc>
        <w:tc>
          <w:tcPr>
            <w:tcW w:type="dxa" w:w="2033"/>
          </w:tcPr>
          <w:p>
            <w:pPr>
              <w:spacing w:after="0"/>
            </w:pPr>
            <w:r>
              <w:rPr>
                <w:b w:val="0"/>
                <w:sz w:val="19"/>
              </w:rPr>
              <w:t>IRB policy; counsel</w:t>
            </w:r>
          </w:p>
        </w:tc>
        <w:tc>
          <w:tcPr>
            <w:tcW w:type="dxa" w:w="2336"/>
          </w:tcPr>
          <w:p>
            <w:pPr>
              <w:spacing w:after="0"/>
            </w:pPr>
            <w:r>
              <w:rPr>
                <w:b w:val="0"/>
                <w:sz w:val="19"/>
              </w:rPr>
              <w:t>Not reviewed. Verify before relying.</w:t>
            </w:r>
          </w:p>
        </w:tc>
      </w:tr>
      <w:tr>
        <w:trPr>
          <w:cantSplit w:val="true"/>
        </w:trPr>
        <w:tc>
          <w:tcPr>
            <w:tcW w:type="dxa" w:w="1532"/>
          </w:tcPr>
          <w:p>
            <w:pPr>
              <w:spacing w:after="0"/>
            </w:pPr>
            <w:r>
              <w:rPr>
                <w:b w:val="0"/>
                <w:sz w:val="19"/>
              </w:rPr>
              <w:t>Surrogate statute extends to research</w:t>
            </w:r>
          </w:p>
        </w:tc>
        <w:tc>
          <w:tcPr>
            <w:tcW w:type="dxa" w:w="3745"/>
          </w:tcPr>
          <w:p>
            <w:pPr>
              <w:spacing w:after="0"/>
            </w:pPr>
            <w:r>
              <w:rPr>
                <w:b w:val="0"/>
                <w:sz w:val="19"/>
              </w:rPr>
              <w:t>Health Care Decisions Act surrogate list governs treatment decisions. It does not expressly address research.</w:t>
            </w:r>
          </w:p>
        </w:tc>
        <w:tc>
          <w:tcPr>
            <w:tcW w:type="dxa" w:w="2033"/>
          </w:tcPr>
          <w:p>
            <w:pPr>
              <w:spacing w:after="0"/>
            </w:pPr>
            <w:r>
              <w:rPr>
                <w:b w:val="0"/>
                <w:sz w:val="19"/>
              </w:rPr>
              <w:t>Health-General 5-605; IRB policy</w:t>
            </w:r>
          </w:p>
        </w:tc>
        <w:tc>
          <w:tcPr>
            <w:tcW w:type="dxa" w:w="2336"/>
          </w:tcPr>
          <w:p>
            <w:pPr>
              <w:spacing w:after="0"/>
            </w:pPr>
            <w:r>
              <w:rPr>
                <w:b w:val="0"/>
                <w:sz w:val="19"/>
              </w:rPr>
              <w:t>Not reviewed. Verify before relying.</w:t>
            </w:r>
          </w:p>
        </w:tc>
      </w:tr>
      <w:tr>
        <w:trPr>
          <w:cantSplit w:val="true"/>
        </w:trPr>
        <w:tc>
          <w:tcPr>
            <w:tcW w:type="dxa" w:w="1532"/>
          </w:tcPr>
          <w:p>
            <w:pPr>
              <w:spacing w:after="0"/>
            </w:pPr>
            <w:r>
              <w:rPr>
                <w:b w:val="0"/>
                <w:sz w:val="19"/>
              </w:rPr>
              <w:t>Minors consenting for themselves</w:t>
            </w:r>
          </w:p>
        </w:tc>
        <w:tc>
          <w:tcPr>
            <w:tcW w:type="dxa" w:w="3745"/>
          </w:tcPr>
          <w:p>
            <w:pPr>
              <w:spacing w:after="0"/>
            </w:pPr>
            <w:r>
              <w:rPr>
                <w:b w:val="0"/>
                <w:sz w:val="19"/>
              </w:rPr>
              <w:t>None for research without IRB approval. Treatment exceptions (for example pregnancy, contraception, sexually transmitted infection, substance use; mental health counseling from age 16) do not apply to research.</w:t>
            </w:r>
          </w:p>
        </w:tc>
        <w:tc>
          <w:tcPr>
            <w:tcW w:type="dxa" w:w="2033"/>
          </w:tcPr>
          <w:p>
            <w:pPr>
              <w:spacing w:after="0"/>
            </w:pPr>
            <w:r>
              <w:rPr>
                <w:b w:val="0"/>
                <w:sz w:val="19"/>
              </w:rPr>
              <w:t>Health-General 20-102, 20-104 (treatment only)</w:t>
            </w:r>
          </w:p>
        </w:tc>
        <w:tc>
          <w:tcPr>
            <w:tcW w:type="dxa" w:w="2336"/>
          </w:tcPr>
          <w:p>
            <w:pPr>
              <w:spacing w:after="0"/>
            </w:pPr>
            <w:r>
              <w:rPr>
                <w:b w:val="0"/>
                <w:sz w:val="19"/>
              </w:rPr>
              <w:t>Not reviewed. Verify before relying.</w:t>
            </w:r>
          </w:p>
        </w:tc>
      </w:tr>
      <w:tr>
        <w:trPr>
          <w:cantSplit w:val="true"/>
        </w:trPr>
        <w:tc>
          <w:tcPr>
            <w:tcW w:type="dxa" w:w="1532"/>
          </w:tcPr>
          <w:p>
            <w:pPr>
              <w:spacing w:after="0"/>
            </w:pPr>
            <w:r>
              <w:rPr>
                <w:b w:val="0"/>
                <w:sz w:val="19"/>
              </w:rPr>
              <w:t>Emancipated minors</w:t>
            </w:r>
          </w:p>
        </w:tc>
        <w:tc>
          <w:tcPr>
            <w:tcW w:type="dxa" w:w="3745"/>
          </w:tcPr>
          <w:p>
            <w:pPr>
              <w:spacing w:after="0"/>
            </w:pPr>
            <w:r>
              <w:rPr>
                <w:b w:val="0"/>
                <w:sz w:val="19"/>
              </w:rPr>
              <w:t>No general emancipation statute found. A minor who is married or a parent has adult capacity to consent to medical treatment.</w:t>
            </w:r>
          </w:p>
        </w:tc>
        <w:tc>
          <w:tcPr>
            <w:tcW w:type="dxa" w:w="2033"/>
          </w:tcPr>
          <w:p>
            <w:pPr>
              <w:spacing w:after="0"/>
            </w:pPr>
            <w:r>
              <w:rPr>
                <w:b w:val="0"/>
                <w:sz w:val="19"/>
              </w:rPr>
              <w:t>Health-General 20-102</w:t>
            </w:r>
          </w:p>
        </w:tc>
        <w:tc>
          <w:tcPr>
            <w:tcW w:type="dxa" w:w="2336"/>
          </w:tcPr>
          <w:p>
            <w:pPr>
              <w:spacing w:after="0"/>
            </w:pPr>
            <w:r>
              <w:rPr>
                <w:b w:val="0"/>
                <w:sz w:val="19"/>
              </w:rPr>
              <w:t>Not reviewed. Verify before relying.</w:t>
            </w:r>
          </w:p>
        </w:tc>
      </w:tr>
      <w:tr>
        <w:trPr>
          <w:cantSplit w:val="true"/>
        </w:trPr>
        <w:tc>
          <w:tcPr>
            <w:tcW w:type="dxa" w:w="1532"/>
          </w:tcPr>
          <w:p>
            <w:pPr>
              <w:spacing w:after="0"/>
            </w:pPr>
            <w:r>
              <w:rPr>
                <w:b w:val="0"/>
                <w:sz w:val="19"/>
              </w:rPr>
              <w:t>State research law</w:t>
            </w:r>
          </w:p>
        </w:tc>
        <w:tc>
          <w:tcPr>
            <w:tcW w:type="dxa" w:w="3745"/>
          </w:tcPr>
          <w:p>
            <w:pPr>
              <w:spacing w:after="0"/>
            </w:pPr>
            <w:r>
              <w:rPr>
                <w:b w:val="0"/>
                <w:sz w:val="19"/>
              </w:rPr>
              <w:t>A person may not conduct research using a human subject unless it is conducted under the federal regulations on the protection of human subjects, and this applies to all research regardless of funding source. In practice the Common Rule applies to FDA-only industry trials in Maryland. The law also gives public access to IRB minutes (with confidential information removed) and lets the Attorney General enforce it.</w:t>
            </w:r>
          </w:p>
        </w:tc>
        <w:tc>
          <w:tcPr>
            <w:tcW w:type="dxa" w:w="2033"/>
          </w:tcPr>
          <w:p>
            <w:pPr>
              <w:spacing w:after="0"/>
            </w:pPr>
            <w:r>
              <w:rPr>
                <w:b w:val="0"/>
                <w:sz w:val="19"/>
              </w:rPr>
              <w:t>Health-General 13-2001 to 13-2004</w:t>
            </w:r>
          </w:p>
        </w:tc>
        <w:tc>
          <w:tcPr>
            <w:tcW w:type="dxa" w:w="2336"/>
          </w:tcPr>
          <w:p>
            <w:pPr>
              <w:spacing w:after="0"/>
            </w:pPr>
            <w:r>
              <w:rPr>
                <w:b w:val="0"/>
                <w:sz w:val="19"/>
              </w:rPr>
              <w:t>Not reviewed. Verify before relying.</w:t>
            </w:r>
          </w:p>
        </w:tc>
      </w:tr>
      <w:tr>
        <w:trPr>
          <w:cantSplit w:val="true"/>
        </w:trPr>
        <w:tc>
          <w:tcPr>
            <w:tcW w:type="dxa" w:w="1532"/>
          </w:tcPr>
          <w:p>
            <w:pPr>
              <w:spacing w:after="0"/>
            </w:pPr>
            <w:r>
              <w:rPr>
                <w:b w:val="0"/>
                <w:sz w:val="19"/>
              </w:rPr>
              <w:t>Genetic testing and privacy</w:t>
            </w:r>
          </w:p>
        </w:tc>
        <w:tc>
          <w:tcPr>
            <w:tcW w:type="dxa" w:w="3745"/>
          </w:tcPr>
          <w:p>
            <w:pPr>
              <w:spacing w:after="0"/>
            </w:pPr>
            <w:r>
              <w:rPr>
                <w:b w:val="0"/>
                <w:sz w:val="19"/>
              </w:rPr>
              <w:t>No research-specific genetic consent statute identified. Ask counsel.</w:t>
            </w:r>
          </w:p>
        </w:tc>
        <w:tc>
          <w:tcPr>
            <w:tcW w:type="dxa" w:w="2033"/>
          </w:tcPr>
          <w:p>
            <w:pPr>
              <w:spacing w:after="0"/>
            </w:pPr>
            <w:r>
              <w:rPr>
                <w:b w:val="0"/>
                <w:sz w:val="19"/>
              </w:rPr>
              <w:t>Counsel</w:t>
            </w:r>
          </w:p>
        </w:tc>
        <w:tc>
          <w:tcPr>
            <w:tcW w:type="dxa" w:w="2336"/>
          </w:tcPr>
          <w:p>
            <w:pPr>
              <w:spacing w:after="0"/>
            </w:pPr>
            <w:r>
              <w:rPr>
                <w:b w:val="0"/>
                <w:sz w:val="19"/>
              </w:rPr>
              <w:t>Not reviewed. Verify before relying.</w:t>
            </w:r>
          </w:p>
        </w:tc>
      </w:tr>
      <w:tr>
        <w:trPr>
          <w:cantSplit w:val="true"/>
        </w:trPr>
        <w:tc>
          <w:tcPr>
            <w:tcW w:type="dxa" w:w="1532"/>
          </w:tcPr>
          <w:p>
            <w:pPr>
              <w:spacing w:after="0"/>
            </w:pPr>
            <w:r>
              <w:rPr>
                <w:b w:val="0"/>
                <w:sz w:val="19"/>
              </w:rPr>
              <w:t>Medical record retention</w:t>
            </w:r>
          </w:p>
        </w:tc>
        <w:tc>
          <w:tcPr>
            <w:tcW w:type="dxa" w:w="3745"/>
          </w:tcPr>
          <w:p>
            <w:pPr>
              <w:spacing w:after="0"/>
            </w:pPr>
            <w:r>
              <w:rPr>
                <w:b w:val="0"/>
                <w:sz w:val="19"/>
              </w:rPr>
              <w:t>Adults: 7 years after the record is made, unless the patient is notified. Minors: until age of majority plus 7 years, unless the parent or guardian (or the minor, for care the minor consented to) is notified. Notice rules apply before destruction.</w:t>
            </w:r>
          </w:p>
        </w:tc>
        <w:tc>
          <w:tcPr>
            <w:tcW w:type="dxa" w:w="2033"/>
          </w:tcPr>
          <w:p>
            <w:pPr>
              <w:spacing w:after="0"/>
            </w:pPr>
            <w:r>
              <w:rPr>
                <w:b w:val="0"/>
                <w:sz w:val="19"/>
              </w:rPr>
              <w:t>Health-General 4-403 (2026 statute text)</w:t>
            </w:r>
          </w:p>
        </w:tc>
        <w:tc>
          <w:tcPr>
            <w:tcW w:type="dxa" w:w="2336"/>
          </w:tcPr>
          <w:p>
            <w:pPr>
              <w:spacing w:after="0"/>
            </w:pPr>
            <w:r>
              <w:rPr>
                <w:b w:val="0"/>
                <w:sz w:val="19"/>
              </w:rPr>
              <w:t>Not reviewed. Verify before relying.</w:t>
            </w:r>
          </w:p>
        </w:tc>
      </w:tr>
      <w:tr>
        <w:trPr>
          <w:cantSplit w:val="true"/>
        </w:trPr>
        <w:tc>
          <w:tcPr>
            <w:tcW w:type="dxa" w:w="1532"/>
          </w:tcPr>
          <w:p>
            <w:pPr>
              <w:spacing w:after="0"/>
            </w:pPr>
            <w:r>
              <w:rPr>
                <w:b w:val="0"/>
                <w:sz w:val="19"/>
              </w:rPr>
              <w:t>Controlled substances</w:t>
            </w:r>
          </w:p>
        </w:tc>
        <w:tc>
          <w:tcPr>
            <w:tcW w:type="dxa" w:w="3745"/>
          </w:tcPr>
          <w:p>
            <w:pPr>
              <w:spacing w:after="0"/>
            </w:pPr>
            <w:r>
              <w:rPr>
                <w:b w:val="0"/>
                <w:sz w:val="19"/>
              </w:rPr>
              <w:t>State Controlled Dangerous Substance registration with the Office of Controlled Substances Administration is required in addition to DEA. Practitioners must register with the prescription drug monitoring program before obtaining or renewing registration.</w:t>
            </w:r>
          </w:p>
        </w:tc>
        <w:tc>
          <w:tcPr>
            <w:tcW w:type="dxa" w:w="2033"/>
          </w:tcPr>
          <w:p>
            <w:pPr>
              <w:spacing w:after="0"/>
            </w:pPr>
            <w:r>
              <w:rPr>
                <w:b w:val="0"/>
                <w:sz w:val="19"/>
              </w:rPr>
              <w:t>Maryland Department of Health, OCSA</w:t>
            </w:r>
          </w:p>
        </w:tc>
        <w:tc>
          <w:tcPr>
            <w:tcW w:type="dxa" w:w="2336"/>
          </w:tcPr>
          <w:p>
            <w:pPr>
              <w:spacing w:after="0"/>
            </w:pPr>
            <w:r>
              <w:rPr>
                <w:b w:val="0"/>
                <w:sz w:val="19"/>
              </w:rPr>
              <w:t>Not reviewed. Verify before relying.</w:t>
            </w:r>
          </w:p>
        </w:tc>
      </w:tr>
      <w:tr>
        <w:trPr>
          <w:cantSplit w:val="true"/>
        </w:trPr>
        <w:tc>
          <w:tcPr>
            <w:tcW w:type="dxa" w:w="1532"/>
          </w:tcPr>
          <w:p>
            <w:pPr>
              <w:spacing w:after="0"/>
            </w:pPr>
            <w:r>
              <w:rPr>
                <w:b w:val="0"/>
                <w:sz w:val="19"/>
              </w:rPr>
              <w:t>Data breach notification</w:t>
            </w:r>
          </w:p>
        </w:tc>
        <w:tc>
          <w:tcPr>
            <w:tcW w:type="dxa" w:w="3745"/>
          </w:tcPr>
          <w:p>
            <w:pPr>
              <w:spacing w:after="0"/>
            </w:pPr>
            <w:r>
              <w:rPr>
                <w:b w:val="0"/>
                <w:sz w:val="19"/>
              </w:rPr>
              <w:t>State breach statute applies. Businesses that maintain data for another owner must notify the owner within 10 days of discovery.</w:t>
            </w:r>
          </w:p>
        </w:tc>
        <w:tc>
          <w:tcPr>
            <w:tcW w:type="dxa" w:w="2033"/>
          </w:tcPr>
          <w:p>
            <w:pPr>
              <w:spacing w:after="0"/>
            </w:pPr>
            <w:r>
              <w:rPr>
                <w:b w:val="0"/>
                <w:sz w:val="19"/>
              </w:rPr>
              <w:t>Commercial Law 14-3504</w:t>
            </w:r>
          </w:p>
        </w:tc>
        <w:tc>
          <w:tcPr>
            <w:tcW w:type="dxa" w:w="2336"/>
          </w:tcPr>
          <w:p>
            <w:pPr>
              <w:spacing w:after="0"/>
            </w:pPr>
            <w:r>
              <w:rPr>
                <w:b w:val="0"/>
                <w:sz w:val="19"/>
              </w:rPr>
              <w:t>Not reviewed. Verify before relying.</w:t>
            </w:r>
          </w:p>
        </w:tc>
      </w:tr>
      <w:tr>
        <w:trPr>
          <w:cantSplit w:val="true"/>
        </w:trPr>
        <w:tc>
          <w:tcPr>
            <w:tcW w:type="dxa" w:w="1532"/>
          </w:tcPr>
          <w:p>
            <w:pPr>
              <w:spacing w:after="0"/>
            </w:pPr>
            <w:r>
              <w:rPr>
                <w:b w:val="0"/>
                <w:sz w:val="19"/>
              </w:rPr>
              <w:t>Mandatory reporting</w:t>
            </w:r>
          </w:p>
        </w:tc>
        <w:tc>
          <w:tcPr>
            <w:tcW w:type="dxa" w:w="3745"/>
          </w:tcPr>
          <w:p>
            <w:pPr>
              <w:spacing w:after="0"/>
            </w:pPr>
            <w:r>
              <w:rPr>
                <w:b w:val="0"/>
                <w:sz w:val="19"/>
              </w:rPr>
              <w:t>Child abuse and neglect (health practitioners). Vulnerable adult abuse. Duty of mental health providers regarding threats of violence.</w:t>
            </w:r>
          </w:p>
        </w:tc>
        <w:tc>
          <w:tcPr>
            <w:tcW w:type="dxa" w:w="2033"/>
          </w:tcPr>
          <w:p>
            <w:pPr>
              <w:spacing w:after="0"/>
            </w:pPr>
            <w:r>
              <w:rPr>
                <w:b w:val="0"/>
                <w:sz w:val="19"/>
              </w:rPr>
              <w:t>Family Law 5-704, 14-302; Courts and Judicial Proceedings 5-609</w:t>
            </w:r>
          </w:p>
        </w:tc>
        <w:tc>
          <w:tcPr>
            <w:tcW w:type="dxa" w:w="2336"/>
          </w:tcPr>
          <w:p>
            <w:pPr>
              <w:spacing w:after="0"/>
            </w:pPr>
            <w:r>
              <w:rPr>
                <w:b w:val="0"/>
                <w:sz w:val="19"/>
              </w:rPr>
              <w:t>Not reviewed. Verify before relying.</w:t>
            </w:r>
          </w:p>
        </w:tc>
      </w:tr>
    </w:tbl>
    <w:p>
      <w:pPr>
        <w:spacing w:after="40"/>
      </w:pPr>
    </w:p>
    <w:p>
      <w:pPr>
        <w:pStyle w:val="Heading2"/>
      </w:pPr>
      <w:r>
        <w:t>5.3 New York (illustrative only, verify before relying)</w:t>
      </w:r>
    </w:p>
    <w:tbl>
      <w:tblPr>
        <w:tblStyle w:val="TableGrid"/>
        <w:tblW w:type="auto" w:w="0"/>
        <w:jc w:val="left"/>
        <w:tblLayout w:type="fixed"/>
        <w:tblLook w:firstColumn="1" w:firstRow="1" w:lastColumn="0" w:lastRow="0" w:noHBand="0" w:noVBand="1" w:val="04A0"/>
      </w:tblPr>
      <w:tblGrid>
        <w:gridCol w:w="1532"/>
        <w:gridCol w:w="3475"/>
        <w:gridCol w:w="2412"/>
        <w:gridCol w:w="2228"/>
      </w:tblGrid>
      <w:tr>
        <w:trPr>
          <w:tblHeader w:val="true"/>
        </w:trPr>
        <w:tc>
          <w:tcPr>
            <w:tcW w:type="dxa" w:w="1532"/>
            <w:shd w:val="clear" w:color="auto" w:fill="D9E2F3"/>
          </w:tcPr>
          <w:p>
            <w:pPr>
              <w:spacing w:after="0"/>
            </w:pPr>
            <w:r>
              <w:rPr>
                <w:b/>
                <w:sz w:val="19"/>
              </w:rPr>
              <w:t>Topic</w:t>
            </w:r>
          </w:p>
        </w:tc>
        <w:tc>
          <w:tcPr>
            <w:tcW w:type="dxa" w:w="3475"/>
            <w:shd w:val="clear" w:color="auto" w:fill="D9E2F3"/>
          </w:tcPr>
          <w:p>
            <w:pPr>
              <w:spacing w:after="0"/>
            </w:pPr>
            <w:r>
              <w:rPr>
                <w:b/>
                <w:sz w:val="19"/>
              </w:rPr>
              <w:t>State answer</w:t>
            </w:r>
          </w:p>
        </w:tc>
        <w:tc>
          <w:tcPr>
            <w:tcW w:type="dxa" w:w="2412"/>
            <w:shd w:val="clear" w:color="auto" w:fill="D9E2F3"/>
          </w:tcPr>
          <w:p>
            <w:pPr>
              <w:spacing w:after="0"/>
            </w:pPr>
            <w:r>
              <w:rPr>
                <w:b/>
                <w:sz w:val="19"/>
              </w:rPr>
              <w:t>Statute/source</w:t>
            </w:r>
          </w:p>
        </w:tc>
        <w:tc>
          <w:tcPr>
            <w:tcW w:type="dxa" w:w="2228"/>
            <w:shd w:val="clear" w:color="auto" w:fill="D9E2F3"/>
          </w:tcPr>
          <w:p>
            <w:pPr>
              <w:spacing w:after="0"/>
            </w:pPr>
            <w:r>
              <w:rPr>
                <w:b/>
                <w:sz w:val="19"/>
              </w:rPr>
              <w:t>Reviewed by/date</w:t>
            </w:r>
          </w:p>
        </w:tc>
      </w:tr>
      <w:tr>
        <w:trPr>
          <w:cantSplit w:val="true"/>
        </w:trPr>
        <w:tc>
          <w:tcPr>
            <w:tcW w:type="dxa" w:w="1532"/>
          </w:tcPr>
          <w:p>
            <w:pPr>
              <w:spacing w:after="0"/>
            </w:pPr>
            <w:r>
              <w:rPr>
                <w:b w:val="0"/>
                <w:sz w:val="19"/>
              </w:rPr>
              <w:t>Age of majority</w:t>
            </w:r>
          </w:p>
        </w:tc>
        <w:tc>
          <w:tcPr>
            <w:tcW w:type="dxa" w:w="3475"/>
          </w:tcPr>
          <w:p>
            <w:pPr>
              <w:spacing w:after="0"/>
            </w:pPr>
            <w:r>
              <w:rPr>
                <w:b w:val="0"/>
                <w:sz w:val="19"/>
              </w:rPr>
              <w:t>18</w:t>
            </w:r>
          </w:p>
        </w:tc>
        <w:tc>
          <w:tcPr>
            <w:tcW w:type="dxa" w:w="2412"/>
          </w:tcPr>
          <w:p>
            <w:pPr>
              <w:spacing w:after="0"/>
            </w:pPr>
            <w:r>
              <w:rPr>
                <w:b w:val="0"/>
                <w:sz w:val="19"/>
              </w:rPr>
              <w:t>CPLR 105(j); Public Health Law 2504 (consent to treatment)</w:t>
            </w:r>
          </w:p>
        </w:tc>
        <w:tc>
          <w:tcPr>
            <w:tcW w:type="dxa" w:w="2228"/>
          </w:tcPr>
          <w:p>
            <w:pPr>
              <w:spacing w:after="0"/>
            </w:pPr>
            <w:r>
              <w:rPr>
                <w:b w:val="0"/>
                <w:sz w:val="19"/>
              </w:rPr>
              <w:t>Not reviewed. Verify before relying.</w:t>
            </w:r>
          </w:p>
        </w:tc>
      </w:tr>
      <w:tr>
        <w:trPr>
          <w:cantSplit w:val="true"/>
        </w:trPr>
        <w:tc>
          <w:tcPr>
            <w:tcW w:type="dxa" w:w="1532"/>
          </w:tcPr>
          <w:p>
            <w:pPr>
              <w:spacing w:after="0"/>
            </w:pPr>
            <w:r>
              <w:rPr>
                <w:b w:val="0"/>
                <w:sz w:val="19"/>
              </w:rPr>
              <w:t>LAR for research</w:t>
            </w:r>
          </w:p>
        </w:tc>
        <w:tc>
          <w:tcPr>
            <w:tcW w:type="dxa" w:w="3475"/>
          </w:tcPr>
          <w:p>
            <w:pPr>
              <w:spacing w:after="0"/>
            </w:pPr>
            <w:r>
              <w:rPr>
                <w:b w:val="0"/>
                <w:sz w:val="19"/>
              </w:rPr>
              <w:t>No research-specific LAR priority statute found. Many IRBs look to the Family Health Care Decisions Act hierarchy (guardian, spouse or domestic partner, adult child, parent, adult sibling, close friend), sometimes limiting which classes may consent to research. Confirm the IRB of record's position.</w:t>
            </w:r>
          </w:p>
        </w:tc>
        <w:tc>
          <w:tcPr>
            <w:tcW w:type="dxa" w:w="2412"/>
          </w:tcPr>
          <w:p>
            <w:pPr>
              <w:spacing w:after="0"/>
            </w:pPr>
            <w:r>
              <w:rPr>
                <w:b w:val="0"/>
                <w:sz w:val="19"/>
              </w:rPr>
              <w:t>Public Health Law Article 29-CC (treatment); IRB policy</w:t>
            </w:r>
          </w:p>
        </w:tc>
        <w:tc>
          <w:tcPr>
            <w:tcW w:type="dxa" w:w="2228"/>
          </w:tcPr>
          <w:p>
            <w:pPr>
              <w:spacing w:after="0"/>
            </w:pPr>
            <w:r>
              <w:rPr>
                <w:b w:val="0"/>
                <w:sz w:val="19"/>
              </w:rPr>
              <w:t>Not reviewed. Verify before relying.</w:t>
            </w:r>
          </w:p>
        </w:tc>
      </w:tr>
      <w:tr>
        <w:trPr>
          <w:cantSplit w:val="true"/>
        </w:trPr>
        <w:tc>
          <w:tcPr>
            <w:tcW w:type="dxa" w:w="1532"/>
          </w:tcPr>
          <w:p>
            <w:pPr>
              <w:spacing w:after="0"/>
            </w:pPr>
            <w:r>
              <w:rPr>
                <w:b w:val="0"/>
                <w:sz w:val="19"/>
              </w:rPr>
              <w:t>Surrogate statute extends to research</w:t>
            </w:r>
          </w:p>
        </w:tc>
        <w:tc>
          <w:tcPr>
            <w:tcW w:type="dxa" w:w="3475"/>
          </w:tcPr>
          <w:p>
            <w:pPr>
              <w:spacing w:after="0"/>
            </w:pPr>
            <w:r>
              <w:rPr>
                <w:b w:val="0"/>
                <w:sz w:val="19"/>
              </w:rPr>
              <w:t>The Family Health Care Decisions Act addresses treatment decisions. It does not expressly address research.</w:t>
            </w:r>
          </w:p>
        </w:tc>
        <w:tc>
          <w:tcPr>
            <w:tcW w:type="dxa" w:w="2412"/>
          </w:tcPr>
          <w:p>
            <w:pPr>
              <w:spacing w:after="0"/>
            </w:pPr>
            <w:r>
              <w:rPr>
                <w:b w:val="0"/>
                <w:sz w:val="19"/>
              </w:rPr>
              <w:t>Public Health Law Article 29-CC; IRB policy</w:t>
            </w:r>
          </w:p>
        </w:tc>
        <w:tc>
          <w:tcPr>
            <w:tcW w:type="dxa" w:w="2228"/>
          </w:tcPr>
          <w:p>
            <w:pPr>
              <w:spacing w:after="0"/>
            </w:pPr>
            <w:r>
              <w:rPr>
                <w:b w:val="0"/>
                <w:sz w:val="19"/>
              </w:rPr>
              <w:t>Not reviewed. Verify before relying.</w:t>
            </w:r>
          </w:p>
        </w:tc>
      </w:tr>
      <w:tr>
        <w:trPr>
          <w:cantSplit w:val="true"/>
        </w:trPr>
        <w:tc>
          <w:tcPr>
            <w:tcW w:type="dxa" w:w="1532"/>
          </w:tcPr>
          <w:p>
            <w:pPr>
              <w:spacing w:after="0"/>
            </w:pPr>
            <w:r>
              <w:rPr>
                <w:b w:val="0"/>
                <w:sz w:val="19"/>
              </w:rPr>
              <w:t>Minors consenting for themselves</w:t>
            </w:r>
          </w:p>
        </w:tc>
        <w:tc>
          <w:tcPr>
            <w:tcW w:type="dxa" w:w="3475"/>
          </w:tcPr>
          <w:p>
            <w:pPr>
              <w:spacing w:after="0"/>
            </w:pPr>
            <w:r>
              <w:rPr>
                <w:b w:val="0"/>
                <w:sz w:val="19"/>
              </w:rPr>
              <w:t>None for research without IRB approval.</w:t>
            </w:r>
          </w:p>
        </w:tc>
        <w:tc>
          <w:tcPr>
            <w:tcW w:type="dxa" w:w="2412"/>
          </w:tcPr>
          <w:p>
            <w:pPr>
              <w:spacing w:after="0"/>
            </w:pPr>
            <w:r>
              <w:rPr>
                <w:b w:val="0"/>
                <w:sz w:val="19"/>
              </w:rPr>
              <w:t>21 CFR 50 Subpart D; IRB policy</w:t>
            </w:r>
          </w:p>
        </w:tc>
        <w:tc>
          <w:tcPr>
            <w:tcW w:type="dxa" w:w="2228"/>
          </w:tcPr>
          <w:p>
            <w:pPr>
              <w:spacing w:after="0"/>
            </w:pPr>
            <w:r>
              <w:rPr>
                <w:b w:val="0"/>
                <w:sz w:val="19"/>
              </w:rPr>
              <w:t>Not reviewed. Verify before relying.</w:t>
            </w:r>
          </w:p>
        </w:tc>
      </w:tr>
      <w:tr>
        <w:trPr>
          <w:cantSplit w:val="true"/>
        </w:trPr>
        <w:tc>
          <w:tcPr>
            <w:tcW w:type="dxa" w:w="1532"/>
          </w:tcPr>
          <w:p>
            <w:pPr>
              <w:spacing w:after="0"/>
            </w:pPr>
            <w:r>
              <w:rPr>
                <w:b w:val="0"/>
                <w:sz w:val="19"/>
              </w:rPr>
              <w:t>Emancipated minors</w:t>
            </w:r>
          </w:p>
        </w:tc>
        <w:tc>
          <w:tcPr>
            <w:tcW w:type="dxa" w:w="3475"/>
          </w:tcPr>
          <w:p>
            <w:pPr>
              <w:spacing w:after="0"/>
            </w:pPr>
            <w:r>
              <w:rPr>
                <w:b w:val="0"/>
                <w:sz w:val="19"/>
              </w:rPr>
              <w:t>No general emancipation statute found. A person who is 18 or older, married, or a parent may consent to their own medical treatment.</w:t>
            </w:r>
          </w:p>
        </w:tc>
        <w:tc>
          <w:tcPr>
            <w:tcW w:type="dxa" w:w="2412"/>
          </w:tcPr>
          <w:p>
            <w:pPr>
              <w:spacing w:after="0"/>
            </w:pPr>
            <w:r>
              <w:rPr>
                <w:b w:val="0"/>
                <w:sz w:val="19"/>
              </w:rPr>
              <w:t>Public Health Law 2504</w:t>
            </w:r>
          </w:p>
        </w:tc>
        <w:tc>
          <w:tcPr>
            <w:tcW w:type="dxa" w:w="2228"/>
          </w:tcPr>
          <w:p>
            <w:pPr>
              <w:spacing w:after="0"/>
            </w:pPr>
            <w:r>
              <w:rPr>
                <w:b w:val="0"/>
                <w:sz w:val="19"/>
              </w:rPr>
              <w:t>Not reviewed. Verify before relying.</w:t>
            </w:r>
          </w:p>
        </w:tc>
      </w:tr>
      <w:tr>
        <w:trPr>
          <w:cantSplit w:val="true"/>
        </w:trPr>
        <w:tc>
          <w:tcPr>
            <w:tcW w:type="dxa" w:w="1532"/>
          </w:tcPr>
          <w:p>
            <w:pPr>
              <w:spacing w:after="0"/>
            </w:pPr>
            <w:r>
              <w:rPr>
                <w:b w:val="0"/>
                <w:sz w:val="19"/>
              </w:rPr>
              <w:t>State research law</w:t>
            </w:r>
          </w:p>
        </w:tc>
        <w:tc>
          <w:tcPr>
            <w:tcW w:type="dxa" w:w="3475"/>
          </w:tcPr>
          <w:p>
            <w:pPr>
              <w:spacing w:after="0"/>
            </w:pPr>
            <w:r>
              <w:rPr>
                <w:b w:val="0"/>
                <w:sz w:val="19"/>
              </w:rPr>
              <w:t>Article 24-A protects human research subjects but does not apply to research that is subject to, and complies with, federal human subject regulations. FDA-regulated industry trials are usually outside it.</w:t>
            </w:r>
          </w:p>
        </w:tc>
        <w:tc>
          <w:tcPr>
            <w:tcW w:type="dxa" w:w="2412"/>
          </w:tcPr>
          <w:p>
            <w:pPr>
              <w:spacing w:after="0"/>
            </w:pPr>
            <w:r>
              <w:rPr>
                <w:b w:val="0"/>
                <w:sz w:val="19"/>
              </w:rPr>
              <w:t>Public Health Law 2440 to 2446 (applicability at 2445)</w:t>
            </w:r>
          </w:p>
        </w:tc>
        <w:tc>
          <w:tcPr>
            <w:tcW w:type="dxa" w:w="2228"/>
          </w:tcPr>
          <w:p>
            <w:pPr>
              <w:spacing w:after="0"/>
            </w:pPr>
            <w:r>
              <w:rPr>
                <w:b w:val="0"/>
                <w:sz w:val="19"/>
              </w:rPr>
              <w:t>Not reviewed. Verify before relying.</w:t>
            </w:r>
          </w:p>
        </w:tc>
      </w:tr>
      <w:tr>
        <w:trPr>
          <w:cantSplit w:val="true"/>
        </w:trPr>
        <w:tc>
          <w:tcPr>
            <w:tcW w:type="dxa" w:w="1532"/>
          </w:tcPr>
          <w:p>
            <w:pPr>
              <w:spacing w:after="0"/>
            </w:pPr>
            <w:r>
              <w:rPr>
                <w:b w:val="0"/>
                <w:sz w:val="19"/>
              </w:rPr>
              <w:t>Genetic testing and privacy</w:t>
            </w:r>
          </w:p>
        </w:tc>
        <w:tc>
          <w:tcPr>
            <w:tcW w:type="dxa" w:w="3475"/>
          </w:tcPr>
          <w:p>
            <w:pPr>
              <w:spacing w:after="0"/>
            </w:pPr>
            <w:r>
              <w:rPr>
                <w:b w:val="0"/>
                <w:sz w:val="19"/>
              </w:rPr>
              <w:t>Prior written informed consent is required for genetic tests. Samples must be destroyed within 60 days unless the person consents to longer retention. IRB-approved research may keep samples longer with written consent.</w:t>
            </w:r>
          </w:p>
        </w:tc>
        <w:tc>
          <w:tcPr>
            <w:tcW w:type="dxa" w:w="2412"/>
          </w:tcPr>
          <w:p>
            <w:pPr>
              <w:spacing w:after="0"/>
            </w:pPr>
            <w:r>
              <w:rPr>
                <w:b w:val="0"/>
                <w:sz w:val="19"/>
              </w:rPr>
              <w:t>Civil Rights Law 79-l</w:t>
            </w:r>
          </w:p>
        </w:tc>
        <w:tc>
          <w:tcPr>
            <w:tcW w:type="dxa" w:w="2228"/>
          </w:tcPr>
          <w:p>
            <w:pPr>
              <w:spacing w:after="0"/>
            </w:pPr>
            <w:r>
              <w:rPr>
                <w:b w:val="0"/>
                <w:sz w:val="19"/>
              </w:rPr>
              <w:t>Not reviewed. Verify before relying.</w:t>
            </w:r>
          </w:p>
        </w:tc>
      </w:tr>
      <w:tr>
        <w:trPr>
          <w:cantSplit w:val="true"/>
        </w:trPr>
        <w:tc>
          <w:tcPr>
            <w:tcW w:type="dxa" w:w="1532"/>
          </w:tcPr>
          <w:p>
            <w:pPr>
              <w:spacing w:after="0"/>
            </w:pPr>
            <w:r>
              <w:rPr>
                <w:b w:val="0"/>
                <w:sz w:val="19"/>
              </w:rPr>
              <w:t>Medical record retention</w:t>
            </w:r>
          </w:p>
        </w:tc>
        <w:tc>
          <w:tcPr>
            <w:tcW w:type="dxa" w:w="3475"/>
          </w:tcPr>
          <w:p>
            <w:pPr>
              <w:spacing w:after="0"/>
            </w:pPr>
            <w:r>
              <w:rPr>
                <w:b w:val="0"/>
                <w:sz w:val="19"/>
              </w:rPr>
              <w:t>Physicians: at least 6 years. Records of minors: contested; confirm with counsel. Education Law 6530(32) is read as at least 6 years and until one year after the minor reaches 18. Secondary sources (for example the 2006 trial court decision Pullman v Gormley) read 8 NYCRR 29.2(a)(3) as until one year after the minor reaches 21. Until counsel confirms, keep the longer period (section 3.8). Other licensed professions under the Board of Regents rules may differ.</w:t>
            </w:r>
          </w:p>
        </w:tc>
        <w:tc>
          <w:tcPr>
            <w:tcW w:type="dxa" w:w="2412"/>
          </w:tcPr>
          <w:p>
            <w:pPr>
              <w:spacing w:after="0"/>
            </w:pPr>
            <w:r>
              <w:rPr>
                <w:b w:val="0"/>
                <w:sz w:val="19"/>
              </w:rPr>
              <w:t>Education Law 6530(32); 8 NYCRR 29.2(a)(3); counsel</w:t>
            </w:r>
          </w:p>
        </w:tc>
        <w:tc>
          <w:tcPr>
            <w:tcW w:type="dxa" w:w="2228"/>
          </w:tcPr>
          <w:p>
            <w:pPr>
              <w:spacing w:after="0"/>
            </w:pPr>
            <w:r>
              <w:rPr>
                <w:b w:val="0"/>
                <w:sz w:val="19"/>
              </w:rPr>
              <w:t>Not reviewed. Contested. Verify before relying.</w:t>
            </w:r>
          </w:p>
        </w:tc>
      </w:tr>
      <w:tr>
        <w:trPr>
          <w:cantSplit w:val="true"/>
        </w:trPr>
        <w:tc>
          <w:tcPr>
            <w:tcW w:type="dxa" w:w="1532"/>
          </w:tcPr>
          <w:p>
            <w:pPr>
              <w:spacing w:after="0"/>
            </w:pPr>
            <w:r>
              <w:rPr>
                <w:b w:val="0"/>
                <w:sz w:val="19"/>
              </w:rPr>
              <w:t>Controlled substances</w:t>
            </w:r>
          </w:p>
        </w:tc>
        <w:tc>
          <w:tcPr>
            <w:tcW w:type="dxa" w:w="3475"/>
          </w:tcPr>
          <w:p>
            <w:pPr>
              <w:spacing w:after="0"/>
            </w:pPr>
            <w:r>
              <w:rPr>
                <w:b w:val="0"/>
                <w:sz w:val="19"/>
              </w:rPr>
              <w:t>Researchers using controlled substances need a license from the Bureau of Narcotic Enforcement (NYS Department of Health) in addition to DEA registration. Check whether a practitioner's existing authority covers clinical trial IP.</w:t>
            </w:r>
          </w:p>
        </w:tc>
        <w:tc>
          <w:tcPr>
            <w:tcW w:type="dxa" w:w="2412"/>
          </w:tcPr>
          <w:p>
            <w:pPr>
              <w:spacing w:after="0"/>
            </w:pPr>
            <w:r>
              <w:rPr>
                <w:b w:val="0"/>
                <w:sz w:val="19"/>
              </w:rPr>
              <w:t>Bureau of Narcotic Enforcement licensing (form DOH-4330)</w:t>
            </w:r>
          </w:p>
        </w:tc>
        <w:tc>
          <w:tcPr>
            <w:tcW w:type="dxa" w:w="2228"/>
          </w:tcPr>
          <w:p>
            <w:pPr>
              <w:spacing w:after="0"/>
            </w:pPr>
            <w:r>
              <w:rPr>
                <w:b w:val="0"/>
                <w:sz w:val="19"/>
              </w:rPr>
              <w:t>Not reviewed. Verify before relying.</w:t>
            </w:r>
          </w:p>
        </w:tc>
      </w:tr>
      <w:tr>
        <w:trPr>
          <w:cantSplit w:val="true"/>
        </w:trPr>
        <w:tc>
          <w:tcPr>
            <w:tcW w:type="dxa" w:w="1532"/>
          </w:tcPr>
          <w:p>
            <w:pPr>
              <w:spacing w:after="0"/>
            </w:pPr>
            <w:r>
              <w:rPr>
                <w:b w:val="0"/>
                <w:sz w:val="19"/>
              </w:rPr>
              <w:t>Data breach notification</w:t>
            </w:r>
          </w:p>
        </w:tc>
        <w:tc>
          <w:tcPr>
            <w:tcW w:type="dxa" w:w="3475"/>
          </w:tcPr>
          <w:p>
            <w:pPr>
              <w:spacing w:after="0"/>
            </w:pPr>
            <w:r>
              <w:rPr>
                <w:b w:val="0"/>
                <w:sz w:val="19"/>
              </w:rPr>
              <w:t>State breach statute applies (as amended by the SHIELD Act).</w:t>
            </w:r>
          </w:p>
        </w:tc>
        <w:tc>
          <w:tcPr>
            <w:tcW w:type="dxa" w:w="2412"/>
          </w:tcPr>
          <w:p>
            <w:pPr>
              <w:spacing w:after="0"/>
            </w:pPr>
            <w:r>
              <w:rPr>
                <w:b w:val="0"/>
                <w:sz w:val="19"/>
              </w:rPr>
              <w:t>General Business Law 899-aa</w:t>
            </w:r>
          </w:p>
        </w:tc>
        <w:tc>
          <w:tcPr>
            <w:tcW w:type="dxa" w:w="2228"/>
          </w:tcPr>
          <w:p>
            <w:pPr>
              <w:spacing w:after="0"/>
            </w:pPr>
            <w:r>
              <w:rPr>
                <w:b w:val="0"/>
                <w:sz w:val="19"/>
              </w:rPr>
              <w:t>Not reviewed. Verify before relying.</w:t>
            </w:r>
          </w:p>
        </w:tc>
      </w:tr>
      <w:tr>
        <w:trPr>
          <w:cantSplit w:val="true"/>
        </w:trPr>
        <w:tc>
          <w:tcPr>
            <w:tcW w:type="dxa" w:w="1532"/>
          </w:tcPr>
          <w:p>
            <w:pPr>
              <w:spacing w:after="0"/>
            </w:pPr>
            <w:r>
              <w:rPr>
                <w:b w:val="0"/>
                <w:sz w:val="19"/>
              </w:rPr>
              <w:t>Mandatory reporting</w:t>
            </w:r>
          </w:p>
        </w:tc>
        <w:tc>
          <w:tcPr>
            <w:tcW w:type="dxa" w:w="3475"/>
          </w:tcPr>
          <w:p>
            <w:pPr>
              <w:spacing w:after="0"/>
            </w:pPr>
            <w:r>
              <w:rPr>
                <w:b w:val="0"/>
                <w:sz w:val="19"/>
              </w:rPr>
              <w:t>Child abuse and maltreatment (physicians and other listed professionals).</w:t>
            </w:r>
          </w:p>
        </w:tc>
        <w:tc>
          <w:tcPr>
            <w:tcW w:type="dxa" w:w="2412"/>
          </w:tcPr>
          <w:p>
            <w:pPr>
              <w:spacing w:after="0"/>
            </w:pPr>
            <w:r>
              <w:rPr>
                <w:b w:val="0"/>
                <w:sz w:val="19"/>
              </w:rPr>
              <w:t>Social Services Law 413</w:t>
            </w:r>
          </w:p>
        </w:tc>
        <w:tc>
          <w:tcPr>
            <w:tcW w:type="dxa" w:w="2228"/>
          </w:tcPr>
          <w:p>
            <w:pPr>
              <w:spacing w:after="0"/>
            </w:pPr>
            <w:r>
              <w:rPr>
                <w:b w:val="0"/>
                <w:sz w:val="19"/>
              </w:rPr>
              <w:t>Not reviewed. Verify before relying.</w:t>
            </w:r>
          </w:p>
        </w:tc>
      </w:tr>
    </w:tbl>
    <w:p>
      <w:pPr>
        <w:spacing w:after="0" w:before="0" w:line="20" w:lineRule="exact"/>
        <w:rPr>
          <w:sz w:val="2"/>
        </w:rPr>
      </w:pPr>
    </w:p>
    <w:sectPr w:rsidR="00FC693F" w:rsidRPr="0006063C" w:rsidSect="00034616">
      <w:headerReference w:type="default" r:id="rId9"/>
      <w:footerReference w:type="default" r:id="rId10"/>
      <w:pgSz w:w="12240" w:h="15840"/>
      <w:pgMar w:top="1296" w:right="1296" w:bottom="1008" w:left="1296" w:header="576"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lear"/>
        <w:tab w:pos="9360" w:val="clear"/>
        <w:tab w:pos="9648" w:val="right"/>
      </w:tabs>
    </w:pPr>
    <w:r>
      <w:rPr>
        <w:b w:val="0"/>
        <w:color w:val="595959"/>
        <w:sz w:val="16"/>
      </w:rPr>
      <w:t>Independent Site SOP Library: Reference Edition, template release 1.3. Template CC BY-NC 4.0, AIMR.</w:t>
    </w:r>
    <w:r>
      <w:rPr>
        <w:sz w:val="16"/>
      </w:rPr>
      <w:tab/>
      <w:t xml:space="preserve">Page </w:t>
    </w:r>
    <w:r>
      <w:rPr>
        <w:sz w:val="16"/>
      </w:rPr>
      <w:fldChar w:fldCharType="begin"/>
      <w:instrText xml:space="preserve">PAGE</w:instrText>
      <w:fldChar w:fldCharType="separate"/>
      <w:t>1</w:t>
      <w:fldChar w:fldCharType="end"/>
    </w:r>
    <w:r>
      <w:rPr>
        <w:sz w:val="16"/>
      </w:rPr>
      <w:t xml:space="preserve"> of </w:t>
    </w:r>
    <w:r>
      <w:rPr>
        <w:sz w:val="16"/>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1" w:color="8EA9DB"/>
      </w:pBdr>
      <w:spacing w:after="0"/>
    </w:pPr>
  </w:p>
  <w:tbl>
    <w:tblPr>
      <w:tblW w:type="auto" w:w="0"/>
      <w:tblLayout w:type="fixed"/>
      <w:tblLook w:firstColumn="1" w:firstRow="1" w:lastColumn="0" w:lastRow="0" w:noHBand="0" w:noVBand="1" w:val="04A0"/>
    </w:tblPr>
    <w:tblGrid>
      <w:gridCol w:w="2315"/>
      <w:gridCol w:w="4438"/>
      <w:gridCol w:w="2894"/>
    </w:tblGrid>
    <w:tr>
      <w:tc>
        <w:tcPr>
          <w:tcW w:type="dxa" w:w="2315"/>
        </w:tcPr>
        <w:p>
          <w:pPr>
            <w:jc w:val="left"/>
          </w:pPr>
          <w:r>
            <w:rPr>
              <w:b w:val="0"/>
              <w:color w:val="404040"/>
              <w:sz w:val="17"/>
              <w:highlight w:val="yellow"/>
            </w:rPr>
            <w:t>[SITE NAME]</w:t>
          </w:r>
        </w:p>
      </w:tc>
      <w:tc>
        <w:tcPr>
          <w:tcW w:type="dxa" w:w="4438"/>
        </w:tcPr>
        <w:p>
          <w:pPr>
            <w:jc w:val="center"/>
          </w:pPr>
          <w:r>
            <w:rPr>
              <w:b/>
              <w:color w:val="404040"/>
              <w:sz w:val="17"/>
            </w:rPr>
            <w:t>State Law Worksheet</w:t>
          </w:r>
        </w:p>
      </w:tc>
      <w:tc>
        <w:tcPr>
          <w:tcW w:type="dxa" w:w="2894"/>
        </w:tcPr>
        <w:p>
          <w:pPr>
            <w:jc w:val="right"/>
          </w:pPr>
          <w:r>
            <w:rPr>
              <w:b w:val="0"/>
              <w:color w:val="404040"/>
              <w:sz w:val="17"/>
            </w:rPr>
            <w:t>Template release 1.3</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Calibri" w:hAnsi="Calibri" w:eastAsia="Calibri" w:cs="Calibri"/>
      <w:b/>
      <w:bCs/>
      <w:i w:val="0"/>
      <w:color w:val="1F3864"/>
      <w:sz w:val="2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Calibri" w:hAnsi="Calibri" w:eastAsia="Calibri" w:cs="Calibri"/>
      <w:b/>
      <w:bCs/>
      <w:i w:val="0"/>
      <w:color w:val="1F3864"/>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0"/>
      <w:contextualSpacing/>
    </w:pPr>
    <w:rPr>
      <w:rFonts w:ascii="Calibri" w:hAnsi="Calibri" w:eastAsia="Calibri" w:cs="Calibri"/>
      <w:b/>
      <w:i w:val="0"/>
      <w:color w:val="1F3864"/>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APPENDIX-A State Law Worksheet</dc:title>
  <dc:subject>GUIDE</dc:subject>
  <dc:creator>American Institute for Medical Research (AIMR)</dc:creator>
  <cp:keywords>SOP; GCP; ICH E6(R3); clinical research site</cp:keywords>
  <dc:description>Independent Site SOP Library: Reference Edition, template release 1.3. Licensed CC BY-NC 4.0 by AIMR, with added permission for any site's internal use. Not legal advice; see the Start Here page.</dc:description>
  <cp:lastModifiedBy>American Institute for Medical Research (AIMR)</cp:lastModifiedBy>
  <cp:revision>1</cp:revision>
  <dcterms:created xsi:type="dcterms:W3CDTF">2013-12-23T23:15:00Z</dcterms:created>
  <dcterms:modified xsi:type="dcterms:W3CDTF">2013-12-23T23:15:00Z</dcterms:modified>
  <cp:category>Reference Edition</cp:category>
</cp:coreProperties>
</file>