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Member Site Gap Assessment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Model N only. Records the due diligence and gap assessment of a site joining the network, by area, with each finding graded, the risk, the action needed and the Network Executive's decision.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Network Quality Lead opens this record when the Network Executive says a site is under consideration (SOP-901 5.1.1), and records whether it is an acquisition or an affiliation.</w:t>
      </w:r>
    </w:p>
    <w:p>
      <w:pPr>
        <w:pStyle w:val="ListBullet"/>
        <w:spacing w:after="0"/>
      </w:pPr>
      <w:r>
        <w:rPr>
          <w:b w:val="0"/>
          <w:sz w:val="18"/>
        </w:rPr>
        <w:t>Before receiving any document that contains PHI, the Privacy Officer confirms the basis for the disclosure. Use de-identified or redacted samples where possible (SOP-901 5.1.2).</w:t>
      </w:r>
    </w:p>
    <w:p>
      <w:pPr>
        <w:pStyle w:val="ListBullet"/>
        <w:spacing w:after="0"/>
      </w:pPr>
      <w:r>
        <w:rPr>
          <w:b w:val="0"/>
          <w:sz w:val="18"/>
        </w:rPr>
        <w:t>Grade each area: No gap, Minor, Major or Critical (SOP-700 grades). Critical = participant safety, rights or data reliability at risk, or a regulatory breach.</w:t>
      </w:r>
    </w:p>
    <w:p>
      <w:pPr>
        <w:pStyle w:val="ListBullet"/>
        <w:spacing w:after="0"/>
      </w:pPr>
      <w:r>
        <w:rPr>
          <w:b w:val="0"/>
          <w:sz w:val="18"/>
        </w:rPr>
        <w:t>Record each gap in Part 2 with the evidence reviewed. A critical gap in an in-flight study is reported at once to the joining site's PI and Site Director, who act under their own SOPs (SOP-901 5.2.3).</w:t>
      </w:r>
    </w:p>
    <w:p>
      <w:pPr>
        <w:pStyle w:val="ListBullet"/>
        <w:spacing w:after="0"/>
      </w:pPr>
      <w:r>
        <w:rPr>
          <w:b w:val="0"/>
          <w:sz w:val="18"/>
        </w:rPr>
        <w:t>Critical and major gaps carry into F-901-02 as milestones with CAPA references.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Joining site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Legal entity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Form of joining (acquisition or affiliation)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Assessment lead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opened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Areas assessed: staff qualifications (SOP-103, SOP-704)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CVs, licenses and certifications current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GCP and human subjects training current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Delegation logs complete and signed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Debarment, disqualification and exclusion screens on file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Open studies and ISF quality (SOP-204)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List of in-flight studies (sponsor, phase, IND or IDE, IRB of record, PI, enrollment status, participants on treatment or in follow-up, next key dates)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Sample ISF review against F-204-01, including consent versions used and delegation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Inspection and audit history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FDA inspections and classification, Form FDA 483 and response, warning letters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Sponsor audit findings and IRB suspensions or terminations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Open CAPAs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IRB status (SOP-203)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IRBs of record, reliance agreements, FWA and IRB accounts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IP storage (SOP-304)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storage areas and temperature monitoring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Excursion history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Controlled-substance storage, DEA and state registration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Laboratory (SOP-312)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CLIA certificate type, holder, location, director and expiry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Systems (SOP-401)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eReg, CTMS, eSource, EHR, temperature monitoring and e-signature systems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Validation or fitness-for-purpose evidence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Data ownership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HIPAA status (SOP-400)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Covered entity status and Notice of Privacy Practices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Authorization templates in use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Part 2 records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Privacy incident history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Insurance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Professional liability, general liability and clinical trial coverage and limits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Claims-made policies and tail coverage need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Contracts (SOP-201, SOP-105)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Open CTAs and budgets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Service provider agreements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Assignment and change-of-control clauses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Records (SOP-402)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Archived study records, location and custodian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Retention end dates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State law (Appendix A)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State(s) where the site operates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Appendix A covers each state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Findings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8"/>
        <w:gridCol w:w="1536"/>
        <w:gridCol w:w="3072"/>
        <w:gridCol w:w="768"/>
        <w:gridCol w:w="2304"/>
        <w:gridCol w:w="2304"/>
        <w:gridCol w:w="1536"/>
        <w:gridCol w:w="1536"/>
      </w:tblGrid>
      <w:tr>
        <w:trPr>
          <w:tblHeader w:val="true"/>
        </w:trPr>
        <w:tc>
          <w:tcPr>
            <w:tcW w:type="dxa" w:w="76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Gap no.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Area</w:t>
            </w:r>
          </w:p>
        </w:tc>
        <w:tc>
          <w:tcPr>
            <w:tcW w:type="dxa" w:w="3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Finding and evidence reviewed</w:t>
            </w:r>
          </w:p>
        </w:tc>
        <w:tc>
          <w:tcPr>
            <w:tcW w:type="dxa" w:w="76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Grade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Risk (participants, data, regulatory, business)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Action needed and timing (before or after the network SOP effective date)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Reported to site PI and Site Director (date, critical only)</w:t>
            </w: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3. Recommendation and decision</w:t>
      </w:r>
    </w:p>
    <w:p>
      <w:pPr>
        <w:spacing w:after="40"/>
      </w:pPr>
      <w:r>
        <w:rPr>
          <w:b w:val="0"/>
          <w:sz w:val="18"/>
        </w:rPr>
        <w:t>Network Quality Lead recommendation (proceed, proceed with conditions, decline) and the conditions: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Decision (proceed, proceed with conditions, decline)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Conditions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Decision date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Network Quality Lead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Network Executive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F-901-01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F-901-01 Member Site Gap Assessment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SOP-901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F-901-01 Member Site Gap Assessment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