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CAPA Record</w:t>
      </w:r>
    </w:p>
    <w:p>
      <w:r>
        <w:rPr>
          <w:b/>
          <w:sz w:val="18"/>
        </w:rPr>
        <w:t xml:space="preserve">Purpose: </w:t>
      </w:r>
      <w:r>
        <w:rPr>
          <w:b w:val="0"/>
          <w:sz w:val="18"/>
        </w:rPr>
        <w:t>Records one corrective and preventive action from problem statement to effectiveness check and closure. All CAPAs are listed on F-703-02 CAPA Log.</w:t>
      </w:r>
    </w:p>
    <w:p>
      <w:pPr>
        <w:spacing w:after="0"/>
      </w:pPr>
      <w:r>
        <w:rPr>
          <w:b/>
          <w:sz w:val="18"/>
        </w:rPr>
        <w:t>Instructions</w:t>
      </w:r>
    </w:p>
    <w:p>
      <w:pPr>
        <w:pStyle w:val="ListBullet"/>
        <w:spacing w:after="0"/>
      </w:pPr>
      <w:r>
        <w:rPr>
          <w:b w:val="0"/>
          <w:sz w:val="18"/>
        </w:rPr>
        <w:t xml:space="preserve">The Quality Lead reviews each reported problem within </w:t>
      </w:r>
      <w:r>
        <w:rPr>
          <w:b w:val="0"/>
          <w:sz w:val="18"/>
          <w:highlight w:val="green"/>
        </w:rPr>
        <w:t>[DEFAULT: 5 business days of report]</w:t>
      </w:r>
      <w:r>
        <w:rPr>
          <w:b w:val="0"/>
          <w:sz w:val="18"/>
        </w:rPr>
        <w:t xml:space="preserve"> and opens a CAPA when a trigger in SOP-703 5.1.2 applies. Write the CAPA number on the source record (deviation, audit response, complaint).</w:t>
      </w:r>
    </w:p>
    <w:p>
      <w:pPr>
        <w:pStyle w:val="ListBullet"/>
        <w:spacing w:after="0"/>
      </w:pPr>
      <w:r>
        <w:rPr>
          <w:b w:val="0"/>
          <w:sz w:val="18"/>
        </w:rPr>
        <w:t>Complete one record for each CAPA and add a line for it on F-703-02 CAPA Log the day it is opened. The owner is a named person, not a role.</w:t>
      </w:r>
    </w:p>
    <w:p>
      <w:pPr>
        <w:pStyle w:val="ListBullet"/>
        <w:spacing w:after="0"/>
      </w:pPr>
      <w:r>
        <w:rPr>
          <w:b w:val="0"/>
          <w:sz w:val="18"/>
        </w:rPr>
        <w:t xml:space="preserve">Scale the root cause analysis to severity (5 whys, fishbone, or both). Complete it within </w:t>
      </w:r>
      <w:r>
        <w:rPr>
          <w:b w:val="0"/>
          <w:sz w:val="18"/>
          <w:highlight w:val="green"/>
        </w:rPr>
        <w:t>[DEFAULT: 15 business days of CAPA opening for major, 10 business days for critical]</w:t>
      </w:r>
      <w:r>
        <w:rPr>
          <w:b w:val="0"/>
          <w:sz w:val="18"/>
        </w:rPr>
        <w:t>, or sooner for an external deadline. "Human error" alone is not a root cause.</w:t>
      </w:r>
    </w:p>
    <w:p>
      <w:pPr>
        <w:pStyle w:val="ListBullet"/>
        <w:spacing w:after="0"/>
      </w:pPr>
      <w:r>
        <w:rPr>
          <w:b w:val="0"/>
          <w:sz w:val="18"/>
        </w:rPr>
        <w:t>Retraining alone is acceptable only when the root cause is a knowledge gap. Record any extension, with the new date and reason, before the due date, here and on F-703-02.</w:t>
      </w:r>
    </w:p>
    <w:p>
      <w:pPr>
        <w:pStyle w:val="ListBullet"/>
        <w:spacing w:after="0"/>
      </w:pPr>
      <w:r>
        <w:rPr>
          <w:b w:val="0"/>
          <w:sz w:val="18"/>
        </w:rPr>
        <w:t>Close only when all actions are done with evidence, the effectiveness check met its target, and commitments to FDA, sponsors or IRBs are fulfilled. When the Quality Lead owned an action or did the check, closure is approved by the Site Director, or the PI/independent reviewer where the Site Director is also the Quality Lead.</w:t>
      </w:r>
    </w:p>
    <w:p>
      <w:pPr>
        <w:spacing w:after="0"/>
      </w:pPr>
    </w:p>
    <w:p>
      <w:pPr>
        <w:pStyle w:val="Heading2"/>
      </w:pPr>
      <w:r>
        <w:t>CAPA record</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CAPA number</w:t>
            </w:r>
          </w:p>
        </w:tc>
        <w:tc>
          <w:tcPr>
            <w:tcW w:type="dxa" w:w="2447"/>
          </w:tcPr>
          <w:p/>
        </w:tc>
        <w:tc>
          <w:tcPr>
            <w:tcW w:type="dxa" w:w="2160"/>
            <w:shd w:val="clear" w:color="auto" w:fill="D9E2F3"/>
          </w:tcPr>
          <w:p>
            <w:pPr>
              <w:spacing w:after="0"/>
            </w:pPr>
            <w:r>
              <w:rPr>
                <w:b/>
                <w:sz w:val="17"/>
              </w:rPr>
              <w:t>Date problem reported</w:t>
            </w:r>
          </w:p>
        </w:tc>
        <w:tc>
          <w:tcPr>
            <w:tcW w:type="dxa" w:w="2447"/>
          </w:tcPr>
          <w:p/>
        </w:tc>
        <w:tc>
          <w:tcPr>
            <w:tcW w:type="dxa" w:w="2160"/>
            <w:shd w:val="clear" w:color="auto" w:fill="D9E2F3"/>
          </w:tcPr>
          <w:p>
            <w:pPr>
              <w:spacing w:after="0"/>
            </w:pPr>
            <w:r>
              <w:rPr>
                <w:b/>
                <w:sz w:val="17"/>
              </w:rPr>
              <w:t>Date opened</w:t>
            </w:r>
          </w:p>
        </w:tc>
        <w:tc>
          <w:tcPr>
            <w:tcW w:type="dxa" w:w="2447"/>
          </w:tcPr>
          <w:p/>
        </w:tc>
      </w:tr>
      <w:tr>
        <w:trPr>
          <w:trHeight w:val="432"/>
        </w:trPr>
        <w:tc>
          <w:tcPr>
            <w:tcW w:type="dxa" w:w="2160"/>
            <w:shd w:val="clear" w:color="auto" w:fill="D9E2F3"/>
          </w:tcPr>
          <w:p>
            <w:pPr>
              <w:spacing w:after="0"/>
            </w:pPr>
            <w:r>
              <w:rPr>
                <w:b/>
                <w:sz w:val="17"/>
              </w:rPr>
              <w:t>Source (QC, internal audit, sponsor or IRB audit, FDA 483 or RRA, monitoring, deviation, complaint, management review, other)</w:t>
            </w:r>
          </w:p>
        </w:tc>
        <w:tc>
          <w:tcPr>
            <w:tcW w:type="dxa" w:w="2447"/>
          </w:tcPr>
          <w:p/>
        </w:tc>
        <w:tc>
          <w:tcPr>
            <w:tcW w:type="dxa" w:w="2160"/>
            <w:shd w:val="clear" w:color="auto" w:fill="D9E2F3"/>
          </w:tcPr>
          <w:p>
            <w:pPr>
              <w:spacing w:after="0"/>
            </w:pPr>
            <w:r>
              <w:rPr>
                <w:b/>
                <w:sz w:val="17"/>
              </w:rPr>
              <w:t>Source reference</w:t>
            </w:r>
          </w:p>
        </w:tc>
        <w:tc>
          <w:tcPr>
            <w:tcW w:type="dxa" w:w="2447"/>
          </w:tcPr>
          <w:p/>
        </w:tc>
        <w:tc>
          <w:tcPr>
            <w:tcW w:type="dxa" w:w="2160"/>
            <w:shd w:val="clear" w:color="auto" w:fill="D9E2F3"/>
          </w:tcPr>
          <w:p>
            <w:pPr>
              <w:spacing w:after="0"/>
            </w:pPr>
            <w:r>
              <w:rPr>
                <w:b/>
                <w:sz w:val="17"/>
              </w:rPr>
              <w:t>Severity (critical, major, minor trend)</w:t>
            </w:r>
          </w:p>
        </w:tc>
        <w:tc>
          <w:tcPr>
            <w:tcW w:type="dxa" w:w="2447"/>
          </w:tcPr>
          <w:p/>
        </w:tc>
      </w:tr>
      <w:tr>
        <w:trPr>
          <w:trHeight w:val="432"/>
        </w:trPr>
        <w:tc>
          <w:tcPr>
            <w:tcW w:type="dxa" w:w="2160"/>
            <w:shd w:val="clear" w:color="auto" w:fill="D9E2F3"/>
          </w:tcPr>
          <w:p>
            <w:pPr>
              <w:spacing w:after="0"/>
            </w:pPr>
            <w:r>
              <w:rPr>
                <w:b/>
                <w:sz w:val="17"/>
              </w:rPr>
              <w:t>CAPA owner (named person)</w:t>
            </w:r>
          </w:p>
        </w:tc>
        <w:tc>
          <w:tcPr>
            <w:tcW w:type="dxa" w:w="2447"/>
          </w:tcPr>
          <w:p/>
        </w:tc>
        <w:tc>
          <w:tcPr>
            <w:tcW w:type="dxa" w:w="2160"/>
            <w:shd w:val="clear" w:color="auto" w:fill="D9E2F3"/>
          </w:tcPr>
          <w:p>
            <w:pPr>
              <w:spacing w:after="0"/>
            </w:pPr>
            <w:r>
              <w:rPr>
                <w:b/>
                <w:sz w:val="17"/>
              </w:rPr>
              <w:t>Studies, staff or locations affected</w:t>
            </w:r>
          </w:p>
        </w:tc>
        <w:tc>
          <w:tcPr>
            <w:tcW w:type="dxa" w:w="2447"/>
          </w:tcPr>
          <w:p/>
        </w:tc>
        <w:tc>
          <w:tcPr>
            <w:tcW w:type="dxa" w:w="2160"/>
            <w:shd w:val="clear" w:color="auto" w:fill="D9E2F3"/>
          </w:tcPr>
          <w:p>
            <w:pPr>
              <w:spacing w:after="0"/>
            </w:pPr>
            <w:r>
              <w:rPr>
                <w:b/>
                <w:sz w:val="17"/>
              </w:rPr>
              <w:t>External deadline (for example 483 response due)</w:t>
            </w:r>
          </w:p>
        </w:tc>
        <w:tc>
          <w:tcPr>
            <w:tcW w:type="dxa" w:w="2447"/>
          </w:tcPr>
          <w:p/>
        </w:tc>
      </w:tr>
    </w:tbl>
    <w:p>
      <w:pPr>
        <w:spacing w:after="0"/>
      </w:pPr>
    </w:p>
    <w:p>
      <w:pPr>
        <w:spacing w:after="40"/>
      </w:pPr>
      <w:r>
        <w:rPr>
          <w:b w:val="0"/>
          <w:sz w:val="18"/>
        </w:rPr>
        <w:t>Problem statement (what, where, when, how many):</w:t>
      </w: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Style w:val="Heading2"/>
      </w:pPr>
      <w:r>
        <w:t>Immediate correction and containment</w:t>
      </w:r>
    </w:p>
    <w:tbl>
      <w:tblPr>
        <w:tblStyle w:val="TableGrid"/>
        <w:tblW w:type="auto" w:w="0"/>
        <w:jc w:val="left"/>
        <w:tblLayout w:type="fixed"/>
        <w:tblLook w:firstColumn="1" w:firstRow="1" w:lastColumn="0" w:lastRow="0" w:noHBand="0" w:noVBand="1" w:val="04A0"/>
      </w:tblPr>
      <w:tblGrid>
        <w:gridCol w:w="6912"/>
        <w:gridCol w:w="1382"/>
        <w:gridCol w:w="4147"/>
        <w:gridCol w:w="1382"/>
      </w:tblGrid>
      <w:tr>
        <w:trPr>
          <w:tblHeader w:val="true"/>
        </w:trPr>
        <w:tc>
          <w:tcPr>
            <w:tcW w:type="dxa" w:w="6912"/>
            <w:shd w:val="clear" w:color="auto" w:fill="D9E2F3"/>
          </w:tcPr>
          <w:p>
            <w:pPr>
              <w:keepNext/>
              <w:spacing w:after="0"/>
            </w:pPr>
            <w:r>
              <w:rPr>
                <w:b/>
                <w:sz w:val="17"/>
              </w:rPr>
              <w:t>Correction or containment action</w:t>
            </w:r>
          </w:p>
        </w:tc>
        <w:tc>
          <w:tcPr>
            <w:tcW w:type="dxa" w:w="1382"/>
            <w:shd w:val="clear" w:color="auto" w:fill="D9E2F3"/>
          </w:tcPr>
          <w:p>
            <w:pPr>
              <w:keepNext/>
              <w:spacing w:after="0"/>
            </w:pPr>
            <w:r>
              <w:rPr>
                <w:b/>
                <w:sz w:val="17"/>
              </w:rPr>
              <w:t>Date</w:t>
            </w:r>
          </w:p>
        </w:tc>
        <w:tc>
          <w:tcPr>
            <w:tcW w:type="dxa" w:w="4147"/>
            <w:shd w:val="clear" w:color="auto" w:fill="D9E2F3"/>
          </w:tcPr>
          <w:p>
            <w:pPr>
              <w:keepNext/>
              <w:spacing w:after="0"/>
            </w:pPr>
            <w:r>
              <w:rPr>
                <w:b/>
                <w:sz w:val="17"/>
              </w:rPr>
              <w:t>Evidence</w:t>
            </w:r>
          </w:p>
        </w:tc>
        <w:tc>
          <w:tcPr>
            <w:tcW w:type="dxa" w:w="1382"/>
            <w:shd w:val="clear" w:color="auto" w:fill="D9E2F3"/>
          </w:tcPr>
          <w:p>
            <w:pPr>
              <w:keepNext/>
              <w:spacing w:after="0"/>
            </w:pPr>
            <w:r>
              <w:rPr>
                <w:b/>
                <w:sz w:val="17"/>
              </w:rPr>
              <w:t>By</w:t>
            </w:r>
          </w:p>
        </w:tc>
      </w:tr>
      <w:tr>
        <w:trPr>
          <w:cantSplit w:val="true"/>
          <w:trHeight w:val="461"/>
        </w:trPr>
        <w:tc>
          <w:tcPr>
            <w:tcW w:type="dxa" w:w="6912"/>
          </w:tcPr>
          <w:p>
            <w:pPr>
              <w:keepNext/>
              <w:spacing w:after="0"/>
            </w:pPr>
          </w:p>
        </w:tc>
        <w:tc>
          <w:tcPr>
            <w:tcW w:type="dxa" w:w="1382"/>
          </w:tcPr>
          <w:p>
            <w:pPr>
              <w:keepNext/>
              <w:spacing w:after="0"/>
            </w:pPr>
          </w:p>
        </w:tc>
        <w:tc>
          <w:tcPr>
            <w:tcW w:type="dxa" w:w="4147"/>
          </w:tcPr>
          <w:p>
            <w:pPr>
              <w:keepNext/>
              <w:spacing w:after="0"/>
            </w:pPr>
          </w:p>
        </w:tc>
        <w:tc>
          <w:tcPr>
            <w:tcW w:type="dxa" w:w="1382"/>
          </w:tcPr>
          <w:p>
            <w:pPr>
              <w:keepNext/>
              <w:spacing w:after="0"/>
            </w:pPr>
          </w:p>
        </w:tc>
      </w:tr>
      <w:tr>
        <w:trPr>
          <w:cantSplit w:val="true"/>
          <w:trHeight w:val="461"/>
        </w:trPr>
        <w:tc>
          <w:tcPr>
            <w:tcW w:type="dxa" w:w="6912"/>
          </w:tcPr>
          <w:p>
            <w:pPr>
              <w:keepNext/>
              <w:spacing w:after="0"/>
            </w:pPr>
          </w:p>
        </w:tc>
        <w:tc>
          <w:tcPr>
            <w:tcW w:type="dxa" w:w="1382"/>
          </w:tcPr>
          <w:p>
            <w:pPr>
              <w:keepNext/>
              <w:spacing w:after="0"/>
            </w:pPr>
          </w:p>
        </w:tc>
        <w:tc>
          <w:tcPr>
            <w:tcW w:type="dxa" w:w="4147"/>
          </w:tcPr>
          <w:p>
            <w:pPr>
              <w:keepNext/>
              <w:spacing w:after="0"/>
            </w:pPr>
          </w:p>
        </w:tc>
        <w:tc>
          <w:tcPr>
            <w:tcW w:type="dxa" w:w="1382"/>
          </w:tcPr>
          <w:p>
            <w:pPr>
              <w:keepNext/>
              <w:spacing w:after="0"/>
            </w:pPr>
          </w:p>
        </w:tc>
      </w:tr>
      <w:tr>
        <w:trPr>
          <w:cantSplit w:val="true"/>
          <w:trHeight w:val="461"/>
        </w:trPr>
        <w:tc>
          <w:tcPr>
            <w:tcW w:type="dxa" w:w="6912"/>
          </w:tcPr>
          <w:p>
            <w:pPr>
              <w:keepNext/>
              <w:spacing w:after="0"/>
            </w:pPr>
          </w:p>
        </w:tc>
        <w:tc>
          <w:tcPr>
            <w:tcW w:type="dxa" w:w="1382"/>
          </w:tcPr>
          <w:p>
            <w:pPr>
              <w:keepNext/>
              <w:spacing w:after="0"/>
            </w:pPr>
          </w:p>
        </w:tc>
        <w:tc>
          <w:tcPr>
            <w:tcW w:type="dxa" w:w="4147"/>
          </w:tcPr>
          <w:p>
            <w:pPr>
              <w:keepNext/>
              <w:spacing w:after="0"/>
            </w:pPr>
          </w:p>
        </w:tc>
        <w:tc>
          <w:tcPr>
            <w:tcW w:type="dxa" w:w="1382"/>
          </w:tcPr>
          <w:p>
            <w:pPr>
              <w:keepNext/>
              <w:spacing w:after="0"/>
            </w:pPr>
          </w:p>
        </w:tc>
      </w:tr>
      <w:tr>
        <w:trPr>
          <w:cantSplit w:val="true"/>
          <w:trHeight w:val="461"/>
        </w:trPr>
        <w:tc>
          <w:tcPr>
            <w:tcW w:type="dxa" w:w="6912"/>
          </w:tcPr>
          <w:p>
            <w:pPr>
              <w:spacing w:after="0"/>
            </w:pPr>
          </w:p>
        </w:tc>
        <w:tc>
          <w:tcPr>
            <w:tcW w:type="dxa" w:w="1382"/>
          </w:tcPr>
          <w:p>
            <w:pPr>
              <w:spacing w:after="0"/>
            </w:pPr>
          </w:p>
        </w:tc>
        <w:tc>
          <w:tcPr>
            <w:tcW w:type="dxa" w:w="4147"/>
          </w:tcPr>
          <w:p>
            <w:pPr>
              <w:spacing w:after="0"/>
            </w:pPr>
          </w:p>
        </w:tc>
        <w:tc>
          <w:tcPr>
            <w:tcW w:type="dxa" w:w="1382"/>
          </w:tcPr>
          <w:p>
            <w:pPr>
              <w:spacing w:after="0"/>
            </w:pPr>
          </w:p>
        </w:tc>
      </w:tr>
    </w:tbl>
    <w:p>
      <w:pPr>
        <w:spacing w:after="40"/>
      </w:pPr>
    </w:p>
    <w:p>
      <w:pPr>
        <w:pStyle w:val="Heading2"/>
      </w:pPr>
      <w:r>
        <w:t>Root cause analysis</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Root cause method (5 whys, fishbone, both)</w:t>
            </w:r>
          </w:p>
        </w:tc>
        <w:tc>
          <w:tcPr>
            <w:tcW w:type="dxa" w:w="2447"/>
          </w:tcPr>
          <w:p/>
        </w:tc>
        <w:tc>
          <w:tcPr>
            <w:tcW w:type="dxa" w:w="2160"/>
            <w:shd w:val="clear" w:color="auto" w:fill="D9E2F3"/>
          </w:tcPr>
          <w:p>
            <w:pPr>
              <w:spacing w:after="0"/>
            </w:pPr>
            <w:r>
              <w:rPr>
                <w:b/>
                <w:sz w:val="17"/>
              </w:rPr>
              <w:t>Analysis team</w:t>
            </w:r>
          </w:p>
        </w:tc>
        <w:tc>
          <w:tcPr>
            <w:tcW w:type="dxa" w:w="2447"/>
          </w:tcPr>
          <w:p/>
        </w:tc>
        <w:tc>
          <w:tcPr>
            <w:tcW w:type="dxa" w:w="2160"/>
            <w:shd w:val="clear" w:color="auto" w:fill="D9E2F3"/>
          </w:tcPr>
          <w:p>
            <w:pPr>
              <w:spacing w:after="0"/>
            </w:pPr>
            <w:r>
              <w:rPr>
                <w:b/>
                <w:sz w:val="17"/>
              </w:rPr>
              <w:t>Root cause analysis due date</w:t>
            </w:r>
          </w:p>
        </w:tc>
        <w:tc>
          <w:tcPr>
            <w:tcW w:type="dxa" w:w="2447"/>
          </w:tcPr>
          <w:p/>
        </w:tc>
      </w:tr>
      <w:tr>
        <w:trPr>
          <w:trHeight w:val="432"/>
        </w:trPr>
        <w:tc>
          <w:tcPr>
            <w:tcW w:type="dxa" w:w="2160"/>
            <w:shd w:val="clear" w:color="auto" w:fill="D9E2F3"/>
          </w:tcPr>
          <w:p>
            <w:pPr>
              <w:spacing w:after="0"/>
            </w:pPr>
            <w:r>
              <w:rPr>
                <w:b/>
                <w:sz w:val="17"/>
              </w:rPr>
              <w:t>Root cause analysis completed (date)</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spacing w:after="40"/>
      </w:pPr>
      <w:r>
        <w:rPr>
          <w:b w:val="0"/>
          <w:sz w:val="18"/>
        </w:rPr>
        <w:t>Evidence used and root cause statement:</w:t>
      </w: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Style w:val="Heading2"/>
      </w:pPr>
      <w:r>
        <w:t>CAPA plan</w:t>
      </w:r>
    </w:p>
    <w:tbl>
      <w:tblPr>
        <w:tblStyle w:val="TableGrid"/>
        <w:tblW w:type="auto" w:w="0"/>
        <w:jc w:val="left"/>
        <w:tblLayout w:type="fixed"/>
        <w:tblLook w:firstColumn="1" w:firstRow="1" w:lastColumn="0" w:lastRow="0" w:noHBand="0" w:noVBand="1" w:val="04A0"/>
      </w:tblPr>
      <w:tblGrid>
        <w:gridCol w:w="1152"/>
        <w:gridCol w:w="4608"/>
        <w:gridCol w:w="1152"/>
        <w:gridCol w:w="1152"/>
        <w:gridCol w:w="2304"/>
        <w:gridCol w:w="1152"/>
        <w:gridCol w:w="2304"/>
      </w:tblGrid>
      <w:tr>
        <w:trPr>
          <w:tblHeader w:val="true"/>
        </w:trPr>
        <w:tc>
          <w:tcPr>
            <w:tcW w:type="dxa" w:w="1152"/>
            <w:shd w:val="clear" w:color="auto" w:fill="D9E2F3"/>
          </w:tcPr>
          <w:p>
            <w:pPr>
              <w:keepNext/>
              <w:spacing w:after="0"/>
            </w:pPr>
            <w:r>
              <w:rPr>
                <w:b/>
                <w:sz w:val="17"/>
              </w:rPr>
              <w:t>Action type (corrective, preventive)</w:t>
            </w:r>
          </w:p>
        </w:tc>
        <w:tc>
          <w:tcPr>
            <w:tcW w:type="dxa" w:w="4608"/>
            <w:shd w:val="clear" w:color="auto" w:fill="D9E2F3"/>
          </w:tcPr>
          <w:p>
            <w:pPr>
              <w:keepNext/>
              <w:spacing w:after="0"/>
            </w:pPr>
            <w:r>
              <w:rPr>
                <w:b/>
                <w:sz w:val="17"/>
              </w:rPr>
              <w:t>Action (address the root cause; extend to other studies, staff or locations)</w:t>
            </w:r>
          </w:p>
        </w:tc>
        <w:tc>
          <w:tcPr>
            <w:tcW w:type="dxa" w:w="1152"/>
            <w:shd w:val="clear" w:color="auto" w:fill="D9E2F3"/>
          </w:tcPr>
          <w:p>
            <w:pPr>
              <w:keepNext/>
              <w:spacing w:after="0"/>
            </w:pPr>
            <w:r>
              <w:rPr>
                <w:b/>
                <w:sz w:val="17"/>
              </w:rPr>
              <w:t>Owner (named person)</w:t>
            </w:r>
          </w:p>
        </w:tc>
        <w:tc>
          <w:tcPr>
            <w:tcW w:type="dxa" w:w="1152"/>
            <w:shd w:val="clear" w:color="auto" w:fill="D9E2F3"/>
          </w:tcPr>
          <w:p>
            <w:pPr>
              <w:keepNext/>
              <w:spacing w:after="0"/>
            </w:pPr>
            <w:r>
              <w:rPr>
                <w:b/>
                <w:sz w:val="17"/>
              </w:rPr>
              <w:t>Due date</w:t>
            </w:r>
          </w:p>
        </w:tc>
        <w:tc>
          <w:tcPr>
            <w:tcW w:type="dxa" w:w="2304"/>
            <w:shd w:val="clear" w:color="auto" w:fill="D9E2F3"/>
          </w:tcPr>
          <w:p>
            <w:pPr>
              <w:keepNext/>
              <w:spacing w:after="0"/>
            </w:pPr>
            <w:r>
              <w:rPr>
                <w:b/>
                <w:sz w:val="17"/>
              </w:rPr>
              <w:t>Evidence of completion</w:t>
            </w:r>
          </w:p>
        </w:tc>
        <w:tc>
          <w:tcPr>
            <w:tcW w:type="dxa" w:w="1152"/>
            <w:shd w:val="clear" w:color="auto" w:fill="D9E2F3"/>
          </w:tcPr>
          <w:p>
            <w:pPr>
              <w:keepNext/>
              <w:spacing w:after="0"/>
            </w:pPr>
            <w:r>
              <w:rPr>
                <w:b/>
                <w:sz w:val="17"/>
              </w:rPr>
              <w:t>Date done</w:t>
            </w:r>
          </w:p>
        </w:tc>
        <w:tc>
          <w:tcPr>
            <w:tcW w:type="dxa" w:w="2304"/>
            <w:shd w:val="clear" w:color="auto" w:fill="D9E2F3"/>
          </w:tcPr>
          <w:p>
            <w:pPr>
              <w:keepNext/>
              <w:spacing w:after="0"/>
            </w:pPr>
            <w:r>
              <w:rPr>
                <w:b/>
                <w:sz w:val="17"/>
              </w:rPr>
              <w:t>Extension (new date and reason)</w:t>
            </w:r>
          </w:p>
        </w:tc>
      </w:tr>
      <w:tr>
        <w:trPr>
          <w:cantSplit w:val="true"/>
          <w:trHeight w:val="461"/>
        </w:trPr>
        <w:tc>
          <w:tcPr>
            <w:tcW w:type="dxa" w:w="1152"/>
          </w:tcPr>
          <w:p>
            <w:pPr>
              <w:keepNext/>
              <w:spacing w:after="0"/>
            </w:pPr>
          </w:p>
        </w:tc>
        <w:tc>
          <w:tcPr>
            <w:tcW w:type="dxa" w:w="4608"/>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1152"/>
          </w:tcPr>
          <w:p>
            <w:pPr>
              <w:keepNext/>
              <w:spacing w:after="0"/>
            </w:pPr>
          </w:p>
        </w:tc>
        <w:tc>
          <w:tcPr>
            <w:tcW w:type="dxa" w:w="4608"/>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1152"/>
          </w:tcPr>
          <w:p>
            <w:pPr>
              <w:keepNext/>
              <w:spacing w:after="0"/>
            </w:pPr>
          </w:p>
        </w:tc>
        <w:tc>
          <w:tcPr>
            <w:tcW w:type="dxa" w:w="4608"/>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1152"/>
          </w:tcPr>
          <w:p>
            <w:pPr>
              <w:keepNext/>
              <w:spacing w:after="0"/>
            </w:pPr>
          </w:p>
        </w:tc>
        <w:tc>
          <w:tcPr>
            <w:tcW w:type="dxa" w:w="4608"/>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1152"/>
          </w:tcPr>
          <w:p>
            <w:pPr>
              <w:keepNext/>
              <w:spacing w:after="0"/>
            </w:pPr>
          </w:p>
        </w:tc>
        <w:tc>
          <w:tcPr>
            <w:tcW w:type="dxa" w:w="4608"/>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1152"/>
          </w:tcPr>
          <w:p>
            <w:pPr>
              <w:spacing w:after="0"/>
            </w:pPr>
          </w:p>
        </w:tc>
        <w:tc>
          <w:tcPr>
            <w:tcW w:type="dxa" w:w="4608"/>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r>
    </w:tbl>
    <w:p>
      <w:pPr>
        <w:spacing w:after="40"/>
      </w:pPr>
    </w:p>
    <w:p>
      <w:pPr>
        <w:pStyle w:val="Heading2"/>
      </w:pPr>
      <w:r>
        <w:t>External commitments</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Reported to sponsor, IRB or FDA (to whom, date)</w:t>
            </w:r>
          </w:p>
        </w:tc>
        <w:tc>
          <w:tcPr>
            <w:tcW w:type="dxa" w:w="2447"/>
          </w:tcPr>
          <w:p/>
        </w:tc>
        <w:tc>
          <w:tcPr>
            <w:tcW w:type="dxa" w:w="2160"/>
            <w:shd w:val="clear" w:color="auto" w:fill="D9E2F3"/>
          </w:tcPr>
          <w:p>
            <w:pPr>
              <w:spacing w:after="0"/>
            </w:pPr>
            <w:r>
              <w:rPr>
                <w:b/>
                <w:sz w:val="17"/>
              </w:rPr>
              <w:t>Commitments made and dates</w:t>
            </w:r>
          </w:p>
        </w:tc>
        <w:tc>
          <w:tcPr>
            <w:tcW w:type="dxa" w:w="2447"/>
          </w:tcPr>
          <w:p/>
        </w:tc>
        <w:tc>
          <w:tcPr>
            <w:tcW w:type="dxa" w:w="2160"/>
            <w:shd w:val="clear" w:color="auto" w:fill="D9E2F3"/>
          </w:tcPr>
          <w:p>
            <w:pPr>
              <w:spacing w:after="0"/>
            </w:pPr>
            <w:r>
              <w:rPr>
                <w:b/>
                <w:sz w:val="17"/>
              </w:rPr>
              <w:t>Commitments fulfilled (date)</w:t>
            </w:r>
          </w:p>
        </w:tc>
        <w:tc>
          <w:tcPr>
            <w:tcW w:type="dxa" w:w="2447"/>
          </w:tcPr>
          <w:p/>
        </w:tc>
      </w:tr>
    </w:tbl>
    <w:p>
      <w:pPr>
        <w:spacing w:after="0"/>
      </w:pPr>
    </w:p>
    <w:p>
      <w:pPr>
        <w:pStyle w:val="Heading2"/>
      </w:pPr>
      <w:r>
        <w:t>Effectiveness check and closure</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Measure</w:t>
            </w:r>
          </w:p>
        </w:tc>
        <w:tc>
          <w:tcPr>
            <w:tcW w:type="dxa" w:w="2447"/>
          </w:tcPr>
          <w:p/>
        </w:tc>
        <w:tc>
          <w:tcPr>
            <w:tcW w:type="dxa" w:w="2160"/>
            <w:shd w:val="clear" w:color="auto" w:fill="D9E2F3"/>
          </w:tcPr>
          <w:p>
            <w:pPr>
              <w:spacing w:after="0"/>
            </w:pPr>
            <w:r>
              <w:rPr>
                <w:b/>
                <w:sz w:val="17"/>
              </w:rPr>
              <w:t>Target</w:t>
            </w:r>
          </w:p>
        </w:tc>
        <w:tc>
          <w:tcPr>
            <w:tcW w:type="dxa" w:w="2447"/>
          </w:tcPr>
          <w:p/>
        </w:tc>
        <w:tc>
          <w:tcPr>
            <w:tcW w:type="dxa" w:w="2160"/>
            <w:shd w:val="clear" w:color="auto" w:fill="D9E2F3"/>
          </w:tcPr>
          <w:p>
            <w:pPr>
              <w:spacing w:after="0"/>
            </w:pPr>
            <w:r>
              <w:rPr>
                <w:b/>
                <w:sz w:val="17"/>
              </w:rPr>
              <w:t xml:space="preserve">Period or sample </w:t>
            </w:r>
            <w:r>
              <w:rPr>
                <w:b/>
                <w:sz w:val="17"/>
                <w:highlight w:val="green"/>
              </w:rPr>
              <w:t>[DEFAULT: the later of 3 months or the next 10 occurrences of the activity; for rare activities, the next 3 occurrences or 12 months, whichever comes first]</w:t>
            </w:r>
          </w:p>
        </w:tc>
        <w:tc>
          <w:tcPr>
            <w:tcW w:type="dxa" w:w="2447"/>
          </w:tcPr>
          <w:p/>
        </w:tc>
      </w:tr>
      <w:tr>
        <w:trPr>
          <w:trHeight w:val="432"/>
        </w:trPr>
        <w:tc>
          <w:tcPr>
            <w:tcW w:type="dxa" w:w="2160"/>
            <w:shd w:val="clear" w:color="auto" w:fill="D9E2F3"/>
          </w:tcPr>
          <w:p>
            <w:pPr>
              <w:spacing w:after="0"/>
            </w:pPr>
            <w:r>
              <w:rPr>
                <w:b/>
                <w:sz w:val="17"/>
              </w:rPr>
              <w:t>Reviewer (not the CAPA owner)</w:t>
            </w:r>
          </w:p>
        </w:tc>
        <w:tc>
          <w:tcPr>
            <w:tcW w:type="dxa" w:w="2447"/>
          </w:tcPr>
          <w:p/>
        </w:tc>
        <w:tc>
          <w:tcPr>
            <w:tcW w:type="dxa" w:w="2160"/>
            <w:shd w:val="clear" w:color="auto" w:fill="D9E2F3"/>
          </w:tcPr>
          <w:p>
            <w:pPr>
              <w:spacing w:after="0"/>
            </w:pPr>
            <w:r>
              <w:rPr>
                <w:b/>
                <w:sz w:val="17"/>
              </w:rPr>
              <w:t>Check date</w:t>
            </w:r>
          </w:p>
        </w:tc>
        <w:tc>
          <w:tcPr>
            <w:tcW w:type="dxa" w:w="2447"/>
          </w:tcPr>
          <w:p/>
        </w:tc>
        <w:tc>
          <w:tcPr>
            <w:tcW w:type="dxa" w:w="2160"/>
            <w:shd w:val="clear" w:color="auto" w:fill="D9E2F3"/>
          </w:tcPr>
          <w:p>
            <w:pPr>
              <w:spacing w:after="0"/>
            </w:pPr>
            <w:r>
              <w:rPr>
                <w:b/>
                <w:sz w:val="17"/>
              </w:rPr>
              <w:t>Result and evidence (met or not met; if not met, analysis reopened)</w:t>
            </w:r>
          </w:p>
        </w:tc>
        <w:tc>
          <w:tcPr>
            <w:tcW w:type="dxa" w:w="2447"/>
          </w:tcPr>
          <w:p/>
        </w:tc>
      </w:tr>
      <w:tr>
        <w:trPr>
          <w:trHeight w:val="432"/>
        </w:trPr>
        <w:tc>
          <w:tcPr>
            <w:tcW w:type="dxa" w:w="2160"/>
            <w:shd w:val="clear" w:color="auto" w:fill="D9E2F3"/>
          </w:tcPr>
          <w:p>
            <w:pPr>
              <w:spacing w:after="0"/>
            </w:pPr>
            <w:r>
              <w:rPr>
                <w:b/>
                <w:sz w:val="17"/>
              </w:rPr>
              <w:t>Date closed</w:t>
            </w:r>
          </w:p>
        </w:tc>
        <w:tc>
          <w:tcPr>
            <w:tcW w:type="dxa" w:w="2447"/>
          </w:tcPr>
          <w:p/>
        </w:tc>
        <w:tc>
          <w:tcPr>
            <w:tcW w:type="dxa" w:w="2160"/>
          </w:tcPr>
          <w:p/>
        </w:tc>
        <w:tc>
          <w:tcPr>
            <w:tcW w:type="dxa" w:w="2447"/>
          </w:tcPr>
          <w:p/>
        </w:tc>
        <w:tc>
          <w:tcPr>
            <w:tcW w:type="dxa" w:w="2160"/>
          </w:tcPr>
          <w:p/>
        </w:tc>
        <w:tc>
          <w:tcPr>
            <w:tcW w:type="dxa" w:w="2447"/>
          </w:tcPr>
          <w:p/>
        </w:tc>
      </w:tr>
    </w:tbl>
    <w:p>
      <w:pPr>
        <w:spacing w:after="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CAPA owner</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keepNext/>
              <w:spacing w:after="0"/>
            </w:pPr>
            <w:r>
              <w:rPr>
                <w:b w:val="0"/>
                <w:sz w:val="17"/>
              </w:rPr>
              <w:t>Principal Investigator (plans that affect study conduct)</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keepNext/>
              <w:spacing w:after="0"/>
            </w:pPr>
            <w:r>
              <w:rPr>
                <w:b w:val="0"/>
                <w:sz w:val="17"/>
              </w:rPr>
              <w:t>Site Director (plans needing budget, staffing or vendor changes); closure: Site Director, or the PI/independent reviewer where the Site Director is also the Quality Lead, when the Quality Lead owned an action or did the check</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Quality Lead (plan approval and closure)</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F-703-01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F-703-01 CAPA Record</w:t>
          </w:r>
        </w:p>
      </w:tc>
      <w:tc>
        <w:tcPr>
          <w:tcW w:type="dxa" w:w="4147"/>
        </w:tcPr>
        <w:p>
          <w:pPr>
            <w:jc w:val="right"/>
          </w:pPr>
          <w:r>
            <w:rPr>
              <w:b w:val="0"/>
              <w:color w:val="404040"/>
              <w:sz w:val="17"/>
            </w:rPr>
            <w:t>Ref: SOP-703</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F-703-01 CAPA Record</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