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Annual Audit Plan and Audit Report</w:t>
      </w:r>
    </w:p>
    <w:p>
      <w:r>
        <w:rPr>
          <w:b/>
          <w:sz w:val="18"/>
        </w:rPr>
        <w:t xml:space="preserve">Purpose: </w:t>
      </w:r>
      <w:r>
        <w:rPr>
          <w:b w:val="0"/>
          <w:sz w:val="18"/>
        </w:rPr>
        <w:t>Sets the year's risk-based internal audit plan, records the scope, findings and responses for each audit, and records the annual management review.</w:t>
      </w:r>
    </w:p>
    <w:p>
      <w:pPr>
        <w:spacing w:after="0"/>
      </w:pPr>
      <w:r>
        <w:rPr>
          <w:b/>
          <w:sz w:val="18"/>
        </w:rPr>
        <w:t>Instructions</w:t>
      </w:r>
    </w:p>
    <w:p>
      <w:pPr>
        <w:pStyle w:val="ListBullet"/>
        <w:spacing w:after="0"/>
      </w:pPr>
      <w:r>
        <w:rPr>
          <w:b w:val="0"/>
          <w:sz w:val="18"/>
        </w:rPr>
        <w:t xml:space="preserve">By </w:t>
      </w:r>
      <w:r>
        <w:rPr>
          <w:b w:val="0"/>
          <w:sz w:val="18"/>
          <w:highlight w:val="yellow"/>
        </w:rPr>
        <w:t>[MONTH]</w:t>
      </w:r>
      <w:r>
        <w:rPr>
          <w:b w:val="0"/>
          <w:sz w:val="18"/>
        </w:rPr>
        <w:t xml:space="preserve"> each year the Quality Lead completes Part 1 based on risk, with at least </w:t>
      </w:r>
      <w:r>
        <w:rPr>
          <w:b w:val="0"/>
          <w:sz w:val="18"/>
          <w:highlight w:val="green"/>
        </w:rPr>
        <w:t>[DEFAULT: one internal audit per year, alternating between a study audit one year and a process audit the next]</w:t>
      </w:r>
      <w:r>
        <w:rPr>
          <w:b w:val="0"/>
          <w:sz w:val="18"/>
        </w:rPr>
        <w:t xml:space="preserve"> and the research billing claims audit (SOP-202). The Site Director approves the plan. Add for-cause audits during the year with the reason.</w:t>
      </w:r>
    </w:p>
    <w:p>
      <w:pPr>
        <w:pStyle w:val="ListBullet"/>
        <w:spacing w:after="0"/>
      </w:pPr>
      <w:r>
        <w:rPr>
          <w:b w:val="0"/>
          <w:sz w:val="18"/>
        </w:rPr>
        <w:t xml:space="preserve">The auditor is independent of the study or process audited and notifies the PI or process owner at least </w:t>
      </w:r>
      <w:r>
        <w:rPr>
          <w:b w:val="0"/>
          <w:sz w:val="18"/>
          <w:highlight w:val="green"/>
        </w:rPr>
        <w:t>[DEFAULT: 10 business days]</w:t>
      </w:r>
      <w:r>
        <w:rPr>
          <w:b w:val="0"/>
          <w:sz w:val="18"/>
        </w:rPr>
        <w:t xml:space="preserve"> ahead. A for-cause audit may be unannounced if the Site Director approves.</w:t>
      </w:r>
    </w:p>
    <w:p>
      <w:pPr>
        <w:pStyle w:val="ListBullet"/>
        <w:spacing w:after="0"/>
      </w:pPr>
      <w:r>
        <w:rPr>
          <w:b w:val="0"/>
          <w:sz w:val="18"/>
        </w:rPr>
        <w:t xml:space="preserve">Complete one Part 2 for each audit. The auditor issues it within </w:t>
      </w:r>
      <w:r>
        <w:rPr>
          <w:b w:val="0"/>
          <w:sz w:val="18"/>
          <w:highlight w:val="green"/>
        </w:rPr>
        <w:t>[DEFAULT: 15 business days of the closing meeting]</w:t>
      </w:r>
      <w:r>
        <w:rPr>
          <w:b w:val="0"/>
          <w:sz w:val="18"/>
        </w:rPr>
        <w:t xml:space="preserve">. The PI or process owner responds within </w:t>
      </w:r>
      <w:r>
        <w:rPr>
          <w:b w:val="0"/>
          <w:sz w:val="18"/>
          <w:highlight w:val="green"/>
        </w:rPr>
        <w:t>[DEFAULT: 30 calendar days of report issue]</w:t>
      </w:r>
      <w:r>
        <w:rPr>
          <w:b w:val="0"/>
          <w:sz w:val="18"/>
        </w:rPr>
        <w:t>, with a CAPA for each major and critical finding.</w:t>
      </w:r>
    </w:p>
    <w:p>
      <w:pPr>
        <w:pStyle w:val="ListBullet"/>
        <w:spacing w:after="0"/>
      </w:pPr>
      <w:r>
        <w:rPr>
          <w:b w:val="0"/>
          <w:sz w:val="18"/>
        </w:rPr>
        <w:t>Audit reports are internal QA records for the PI or process owner, the Site Director and the Quality Lead. Confirm to sponsors or inspectors that an audit took place without routinely sharing the full report. Findings that are deviations also go on F-308-01.</w:t>
      </w:r>
    </w:p>
    <w:p>
      <w:pPr>
        <w:pStyle w:val="ListBullet"/>
        <w:spacing w:after="0"/>
      </w:pPr>
      <w:r>
        <w:rPr>
          <w:b w:val="0"/>
          <w:sz w:val="18"/>
        </w:rPr>
        <w:t>Record the management review in Part 3, or attach minutes signed by the Site Director, and file it with the year's plan.</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Plan year</w:t>
            </w:r>
          </w:p>
        </w:tc>
        <w:tc>
          <w:tcPr>
            <w:tcW w:type="dxa" w:w="2447"/>
          </w:tcPr>
          <w:p/>
        </w:tc>
        <w:tc>
          <w:tcPr>
            <w:tcW w:type="dxa" w:w="2160"/>
            <w:shd w:val="clear" w:color="auto" w:fill="D9E2F3"/>
          </w:tcPr>
          <w:p>
            <w:pPr>
              <w:spacing w:after="0"/>
            </w:pPr>
            <w:r>
              <w:rPr>
                <w:b/>
                <w:sz w:val="17"/>
              </w:rPr>
              <w:t>Prepared by (Quality Lead)</w:t>
            </w:r>
          </w:p>
        </w:tc>
        <w:tc>
          <w:tcPr>
            <w:tcW w:type="dxa" w:w="2447"/>
          </w:tcPr>
          <w:p/>
        </w:tc>
        <w:tc>
          <w:tcPr>
            <w:tcW w:type="dxa" w:w="2160"/>
            <w:shd w:val="clear" w:color="auto" w:fill="D9E2F3"/>
          </w:tcPr>
          <w:p>
            <w:pPr>
              <w:spacing w:after="0"/>
            </w:pPr>
            <w:r>
              <w:rPr>
                <w:b/>
                <w:sz w:val="17"/>
              </w:rPr>
              <w:t>Approved by Site Director (date)</w:t>
            </w:r>
          </w:p>
        </w:tc>
        <w:tc>
          <w:tcPr>
            <w:tcW w:type="dxa" w:w="2447"/>
          </w:tcPr>
          <w:p/>
        </w:tc>
      </w:tr>
    </w:tbl>
    <w:p>
      <w:pPr>
        <w:spacing w:after="0"/>
      </w:pPr>
    </w:p>
    <w:p>
      <w:pPr>
        <w:pStyle w:val="Heading2"/>
      </w:pPr>
      <w:r>
        <w:t>Part 1. Audit plan</w:t>
      </w:r>
    </w:p>
    <w:tbl>
      <w:tblPr>
        <w:tblStyle w:val="TableGrid"/>
        <w:tblW w:type="auto" w:w="0"/>
        <w:jc w:val="left"/>
        <w:tblLayout w:type="fixed"/>
        <w:tblLook w:firstColumn="1" w:firstRow="1" w:lastColumn="0" w:lastRow="0" w:noHBand="0" w:noVBand="1" w:val="04A0"/>
      </w:tblPr>
      <w:tblGrid>
        <w:gridCol w:w="3190"/>
        <w:gridCol w:w="2126"/>
        <w:gridCol w:w="3190"/>
        <w:gridCol w:w="1063"/>
        <w:gridCol w:w="2126"/>
        <w:gridCol w:w="1063"/>
        <w:gridCol w:w="1063"/>
      </w:tblGrid>
      <w:tr>
        <w:trPr>
          <w:tblHeader w:val="true"/>
        </w:trPr>
        <w:tc>
          <w:tcPr>
            <w:tcW w:type="dxa" w:w="3190"/>
            <w:shd w:val="clear" w:color="auto" w:fill="D9E2F3"/>
          </w:tcPr>
          <w:p>
            <w:pPr>
              <w:spacing w:after="0"/>
            </w:pPr>
            <w:r>
              <w:rPr>
                <w:b/>
                <w:sz w:val="17"/>
              </w:rPr>
              <w:t>Audit area or study</w:t>
            </w:r>
          </w:p>
        </w:tc>
        <w:tc>
          <w:tcPr>
            <w:tcW w:type="dxa" w:w="2126"/>
            <w:shd w:val="clear" w:color="auto" w:fill="D9E2F3"/>
          </w:tcPr>
          <w:p>
            <w:pPr>
              <w:spacing w:after="0"/>
            </w:pPr>
            <w:r>
              <w:rPr>
                <w:b/>
                <w:sz w:val="17"/>
              </w:rPr>
              <w:t>Type (study, process, billing claims, for cause)</w:t>
            </w:r>
          </w:p>
        </w:tc>
        <w:tc>
          <w:tcPr>
            <w:tcW w:type="dxa" w:w="3190"/>
            <w:shd w:val="clear" w:color="auto" w:fill="D9E2F3"/>
          </w:tcPr>
          <w:p>
            <w:pPr>
              <w:spacing w:after="0"/>
            </w:pPr>
            <w:r>
              <w:rPr>
                <w:b/>
                <w:sz w:val="17"/>
              </w:rPr>
              <w:t>Reason for selection (risk) or for-cause trigger</w:t>
            </w:r>
          </w:p>
        </w:tc>
        <w:tc>
          <w:tcPr>
            <w:tcW w:type="dxa" w:w="1063"/>
            <w:shd w:val="clear" w:color="auto" w:fill="D9E2F3"/>
          </w:tcPr>
          <w:p>
            <w:pPr>
              <w:spacing w:after="0"/>
            </w:pPr>
            <w:r>
              <w:rPr>
                <w:b/>
                <w:sz w:val="17"/>
              </w:rPr>
              <w:t>Planned quarter</w:t>
            </w:r>
          </w:p>
        </w:tc>
        <w:tc>
          <w:tcPr>
            <w:tcW w:type="dxa" w:w="2126"/>
            <w:shd w:val="clear" w:color="auto" w:fill="D9E2F3"/>
          </w:tcPr>
          <w:p>
            <w:pPr>
              <w:spacing w:after="0"/>
            </w:pPr>
            <w:r>
              <w:rPr>
                <w:b/>
                <w:sz w:val="17"/>
              </w:rPr>
              <w:t>Auditor</w:t>
            </w:r>
          </w:p>
        </w:tc>
        <w:tc>
          <w:tcPr>
            <w:tcW w:type="dxa" w:w="1063"/>
            <w:shd w:val="clear" w:color="auto" w:fill="D9E2F3"/>
          </w:tcPr>
          <w:p>
            <w:pPr>
              <w:spacing w:after="0"/>
            </w:pPr>
            <w:r>
              <w:rPr>
                <w:b/>
                <w:sz w:val="17"/>
              </w:rPr>
              <w:t>Status</w:t>
            </w:r>
          </w:p>
        </w:tc>
        <w:tc>
          <w:tcPr>
            <w:tcW w:type="dxa" w:w="1063"/>
            <w:shd w:val="clear" w:color="auto" w:fill="D9E2F3"/>
          </w:tcPr>
          <w:p>
            <w:pPr>
              <w:spacing w:after="0"/>
            </w:pPr>
            <w:r>
              <w:rPr>
                <w:b/>
                <w:sz w:val="17"/>
              </w:rPr>
              <w:t>Report date</w:t>
            </w: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Part 2. Audit report</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Audit number</w:t>
            </w:r>
          </w:p>
        </w:tc>
        <w:tc>
          <w:tcPr>
            <w:tcW w:type="dxa" w:w="2447"/>
          </w:tcPr>
          <w:p/>
        </w:tc>
        <w:tc>
          <w:tcPr>
            <w:tcW w:type="dxa" w:w="2160"/>
            <w:shd w:val="clear" w:color="auto" w:fill="D9E2F3"/>
          </w:tcPr>
          <w:p>
            <w:pPr>
              <w:spacing w:after="0"/>
            </w:pPr>
            <w:r>
              <w:rPr>
                <w:b/>
                <w:sz w:val="17"/>
              </w:rPr>
              <w:t>Audit type</w:t>
            </w:r>
          </w:p>
        </w:tc>
        <w:tc>
          <w:tcPr>
            <w:tcW w:type="dxa" w:w="2447"/>
          </w:tcPr>
          <w:p/>
        </w:tc>
        <w:tc>
          <w:tcPr>
            <w:tcW w:type="dxa" w:w="2160"/>
            <w:shd w:val="clear" w:color="auto" w:fill="D9E2F3"/>
          </w:tcPr>
          <w:p>
            <w:pPr>
              <w:spacing w:after="0"/>
            </w:pPr>
            <w:r>
              <w:rPr>
                <w:b/>
                <w:sz w:val="17"/>
              </w:rPr>
              <w:t>Scope</w:t>
            </w:r>
          </w:p>
        </w:tc>
        <w:tc>
          <w:tcPr>
            <w:tcW w:type="dxa" w:w="2447"/>
          </w:tcPr>
          <w:p/>
        </w:tc>
      </w:tr>
      <w:tr>
        <w:trPr>
          <w:trHeight w:val="432"/>
        </w:trPr>
        <w:tc>
          <w:tcPr>
            <w:tcW w:type="dxa" w:w="2160"/>
            <w:shd w:val="clear" w:color="auto" w:fill="D9E2F3"/>
          </w:tcPr>
          <w:p>
            <w:pPr>
              <w:spacing w:after="0"/>
            </w:pPr>
            <w:r>
              <w:rPr>
                <w:b/>
                <w:sz w:val="17"/>
              </w:rPr>
              <w:t>Auditor (independent of the work)</w:t>
            </w:r>
          </w:p>
        </w:tc>
        <w:tc>
          <w:tcPr>
            <w:tcW w:type="dxa" w:w="2447"/>
          </w:tcPr>
          <w:p/>
        </w:tc>
        <w:tc>
          <w:tcPr>
            <w:tcW w:type="dxa" w:w="2160"/>
            <w:shd w:val="clear" w:color="auto" w:fill="D9E2F3"/>
          </w:tcPr>
          <w:p>
            <w:pPr>
              <w:spacing w:after="0"/>
            </w:pPr>
            <w:r>
              <w:rPr>
                <w:b/>
                <w:sz w:val="17"/>
              </w:rPr>
              <w:t>Notice sent (date)</w:t>
            </w:r>
          </w:p>
        </w:tc>
        <w:tc>
          <w:tcPr>
            <w:tcW w:type="dxa" w:w="2447"/>
          </w:tcPr>
          <w:p/>
        </w:tc>
        <w:tc>
          <w:tcPr>
            <w:tcW w:type="dxa" w:w="2160"/>
            <w:shd w:val="clear" w:color="auto" w:fill="D9E2F3"/>
          </w:tcPr>
          <w:p>
            <w:pPr>
              <w:spacing w:after="0"/>
            </w:pPr>
            <w:r>
              <w:rPr>
                <w:b/>
                <w:sz w:val="17"/>
              </w:rPr>
              <w:t>Opening meeting date</w:t>
            </w:r>
          </w:p>
        </w:tc>
        <w:tc>
          <w:tcPr>
            <w:tcW w:type="dxa" w:w="2447"/>
          </w:tcPr>
          <w:p/>
        </w:tc>
      </w:tr>
      <w:tr>
        <w:trPr>
          <w:trHeight w:val="432"/>
        </w:trPr>
        <w:tc>
          <w:tcPr>
            <w:tcW w:type="dxa" w:w="2160"/>
            <w:shd w:val="clear" w:color="auto" w:fill="D9E2F3"/>
          </w:tcPr>
          <w:p>
            <w:pPr>
              <w:spacing w:after="0"/>
            </w:pPr>
            <w:r>
              <w:rPr>
                <w:b/>
                <w:sz w:val="17"/>
              </w:rPr>
              <w:t>Audit dates</w:t>
            </w:r>
          </w:p>
        </w:tc>
        <w:tc>
          <w:tcPr>
            <w:tcW w:type="dxa" w:w="2447"/>
          </w:tcPr>
          <w:p/>
        </w:tc>
        <w:tc>
          <w:tcPr>
            <w:tcW w:type="dxa" w:w="2160"/>
            <w:shd w:val="clear" w:color="auto" w:fill="D9E2F3"/>
          </w:tcPr>
          <w:p>
            <w:pPr>
              <w:spacing w:after="0"/>
            </w:pPr>
            <w:r>
              <w:rPr>
                <w:b/>
                <w:sz w:val="17"/>
              </w:rPr>
              <w:t>Closing meeting date</w:t>
            </w:r>
          </w:p>
        </w:tc>
        <w:tc>
          <w:tcPr>
            <w:tcW w:type="dxa" w:w="2447"/>
          </w:tcPr>
          <w:p/>
        </w:tc>
        <w:tc>
          <w:tcPr>
            <w:tcW w:type="dxa" w:w="2160"/>
            <w:shd w:val="clear" w:color="auto" w:fill="D9E2F3"/>
          </w:tcPr>
          <w:p>
            <w:pPr>
              <w:spacing w:after="0"/>
            </w:pPr>
            <w:r>
              <w:rPr>
                <w:b/>
                <w:sz w:val="17"/>
              </w:rPr>
              <w:t>Persons interviewed</w:t>
            </w:r>
          </w:p>
        </w:tc>
        <w:tc>
          <w:tcPr>
            <w:tcW w:type="dxa" w:w="2447"/>
          </w:tcPr>
          <w:p/>
        </w:tc>
      </w:tr>
      <w:tr>
        <w:trPr>
          <w:trHeight w:val="432"/>
        </w:trPr>
        <w:tc>
          <w:tcPr>
            <w:tcW w:type="dxa" w:w="2160"/>
            <w:shd w:val="clear" w:color="auto" w:fill="D9E2F3"/>
          </w:tcPr>
          <w:p>
            <w:pPr>
              <w:spacing w:after="0"/>
            </w:pPr>
            <w:r>
              <w:rPr>
                <w:b/>
                <w:sz w:val="17"/>
              </w:rPr>
              <w:t>Records reviewed</w:t>
            </w:r>
          </w:p>
        </w:tc>
        <w:tc>
          <w:tcPr>
            <w:tcW w:type="dxa" w:w="2447"/>
          </w:tcPr>
          <w:p/>
        </w:tc>
        <w:tc>
          <w:tcPr>
            <w:tcW w:type="dxa" w:w="2160"/>
            <w:shd w:val="clear" w:color="auto" w:fill="D9E2F3"/>
          </w:tcPr>
          <w:p>
            <w:pPr>
              <w:spacing w:after="0"/>
            </w:pPr>
            <w:r>
              <w:rPr>
                <w:b/>
                <w:sz w:val="17"/>
              </w:rPr>
              <w:t>Sample method</w:t>
            </w:r>
          </w:p>
        </w:tc>
        <w:tc>
          <w:tcPr>
            <w:tcW w:type="dxa" w:w="2447"/>
          </w:tcPr>
          <w:p/>
        </w:tc>
        <w:tc>
          <w:tcPr>
            <w:tcW w:type="dxa" w:w="2160"/>
            <w:shd w:val="clear" w:color="auto" w:fill="D9E2F3"/>
          </w:tcPr>
          <w:p>
            <w:pPr>
              <w:spacing w:after="0"/>
            </w:pPr>
            <w:r>
              <w:rPr>
                <w:b/>
                <w:sz w:val="17"/>
              </w:rPr>
              <w:t>Report issued (date)</w:t>
            </w:r>
          </w:p>
        </w:tc>
        <w:tc>
          <w:tcPr>
            <w:tcW w:type="dxa" w:w="2447"/>
          </w:tcPr>
          <w:p/>
        </w:tc>
      </w:tr>
      <w:tr>
        <w:trPr>
          <w:trHeight w:val="432"/>
        </w:trPr>
        <w:tc>
          <w:tcPr>
            <w:tcW w:type="dxa" w:w="2160"/>
            <w:shd w:val="clear" w:color="auto" w:fill="D9E2F3"/>
          </w:tcPr>
          <w:p>
            <w:pPr>
              <w:spacing w:after="0"/>
            </w:pPr>
            <w:r>
              <w:rPr>
                <w:b/>
                <w:sz w:val="17"/>
              </w:rPr>
              <w:t>Response due (date)</w:t>
            </w:r>
          </w:p>
        </w:tc>
        <w:tc>
          <w:tcPr>
            <w:tcW w:type="dxa" w:w="2447"/>
          </w:tcPr>
          <w:p/>
        </w:tc>
        <w:tc>
          <w:tcPr>
            <w:tcW w:type="dxa" w:w="2160"/>
            <w:shd w:val="clear" w:color="auto" w:fill="D9E2F3"/>
          </w:tcPr>
          <w:p>
            <w:pPr>
              <w:spacing w:after="0"/>
            </w:pPr>
            <w:r>
              <w:rPr>
                <w:b/>
                <w:sz w:val="17"/>
              </w:rPr>
              <w:t>Response received (date)</w:t>
            </w:r>
          </w:p>
        </w:tc>
        <w:tc>
          <w:tcPr>
            <w:tcW w:type="dxa" w:w="2447"/>
          </w:tcPr>
          <w:p/>
        </w:tc>
        <w:tc>
          <w:tcPr>
            <w:tcW w:type="dxa" w:w="2160"/>
            <w:shd w:val="clear" w:color="auto" w:fill="D9E2F3"/>
          </w:tcPr>
          <w:p>
            <w:pPr>
              <w:spacing w:after="0"/>
            </w:pPr>
            <w:r>
              <w:rPr>
                <w:b/>
                <w:sz w:val="17"/>
              </w:rPr>
              <w:t>Distributed to (PI or process owner, Site Director, Quality Lead)</w:t>
            </w:r>
          </w:p>
        </w:tc>
        <w:tc>
          <w:tcPr>
            <w:tcW w:type="dxa" w:w="2447"/>
          </w:tcPr>
          <w:p/>
        </w:tc>
      </w:tr>
      <w:tr>
        <w:trPr>
          <w:trHeight w:val="432"/>
        </w:trPr>
        <w:tc>
          <w:tcPr>
            <w:tcW w:type="dxa" w:w="2160"/>
            <w:shd w:val="clear" w:color="auto" w:fill="D9E2F3"/>
          </w:tcPr>
          <w:p>
            <w:pPr>
              <w:spacing w:after="0"/>
            </w:pPr>
            <w:r>
              <w:rPr>
                <w:b/>
                <w:sz w:val="17"/>
              </w:rPr>
              <w:t>Confirmation of audit given to sponsor (date, if requested)</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Findings</w:t>
      </w:r>
    </w:p>
    <w:tbl>
      <w:tblPr>
        <w:tblStyle w:val="TableGrid"/>
        <w:tblW w:type="auto" w:w="0"/>
        <w:jc w:val="left"/>
        <w:tblLayout w:type="fixed"/>
        <w:tblLook w:firstColumn="1" w:firstRow="1" w:lastColumn="0" w:lastRow="0" w:noHBand="0" w:noVBand="1" w:val="04A0"/>
      </w:tblPr>
      <w:tblGrid>
        <w:gridCol w:w="1063"/>
        <w:gridCol w:w="2126"/>
        <w:gridCol w:w="4253"/>
        <w:gridCol w:w="1063"/>
        <w:gridCol w:w="2126"/>
        <w:gridCol w:w="1063"/>
        <w:gridCol w:w="1063"/>
        <w:gridCol w:w="1063"/>
      </w:tblGrid>
      <w:tr>
        <w:trPr>
          <w:tblHeader w:val="true"/>
        </w:trPr>
        <w:tc>
          <w:tcPr>
            <w:tcW w:type="dxa" w:w="1063"/>
            <w:shd w:val="clear" w:color="auto" w:fill="D9E2F3"/>
          </w:tcPr>
          <w:p>
            <w:pPr>
              <w:spacing w:after="0"/>
            </w:pPr>
            <w:r>
              <w:rPr>
                <w:b/>
                <w:sz w:val="17"/>
              </w:rPr>
              <w:t>Finding number</w:t>
            </w:r>
          </w:p>
        </w:tc>
        <w:tc>
          <w:tcPr>
            <w:tcW w:type="dxa" w:w="2126"/>
            <w:shd w:val="clear" w:color="auto" w:fill="D9E2F3"/>
          </w:tcPr>
          <w:p>
            <w:pPr>
              <w:spacing w:after="0"/>
            </w:pPr>
            <w:r>
              <w:rPr>
                <w:b/>
                <w:sz w:val="17"/>
              </w:rPr>
              <w:t>Requirement (SOP, regulation, protocol)</w:t>
            </w:r>
          </w:p>
        </w:tc>
        <w:tc>
          <w:tcPr>
            <w:tcW w:type="dxa" w:w="4253"/>
            <w:shd w:val="clear" w:color="auto" w:fill="D9E2F3"/>
          </w:tcPr>
          <w:p>
            <w:pPr>
              <w:spacing w:after="0"/>
            </w:pPr>
            <w:r>
              <w:rPr>
                <w:b/>
                <w:sz w:val="17"/>
              </w:rPr>
              <w:t>Finding and evidence (record, participant ID, date)</w:t>
            </w:r>
          </w:p>
        </w:tc>
        <w:tc>
          <w:tcPr>
            <w:tcW w:type="dxa" w:w="1063"/>
            <w:shd w:val="clear" w:color="auto" w:fill="D9E2F3"/>
          </w:tcPr>
          <w:p>
            <w:pPr>
              <w:spacing w:after="0"/>
            </w:pPr>
            <w:r>
              <w:rPr>
                <w:b/>
                <w:sz w:val="17"/>
              </w:rPr>
              <w:t>Grade (critical, major, minor)</w:t>
            </w:r>
          </w:p>
        </w:tc>
        <w:tc>
          <w:tcPr>
            <w:tcW w:type="dxa" w:w="2126"/>
            <w:shd w:val="clear" w:color="auto" w:fill="D9E2F3"/>
          </w:tcPr>
          <w:p>
            <w:pPr>
              <w:spacing w:after="0"/>
            </w:pPr>
            <w:r>
              <w:rPr>
                <w:b/>
                <w:sz w:val="17"/>
              </w:rPr>
              <w:t>Correction by PI or process owner</w:t>
            </w:r>
          </w:p>
        </w:tc>
        <w:tc>
          <w:tcPr>
            <w:tcW w:type="dxa" w:w="1063"/>
            <w:shd w:val="clear" w:color="auto" w:fill="D9E2F3"/>
          </w:tcPr>
          <w:p>
            <w:pPr>
              <w:spacing w:after="0"/>
            </w:pPr>
            <w:r>
              <w:rPr>
                <w:b/>
                <w:sz w:val="17"/>
              </w:rPr>
              <w:t>CAPA number</w:t>
            </w:r>
          </w:p>
        </w:tc>
        <w:tc>
          <w:tcPr>
            <w:tcW w:type="dxa" w:w="1063"/>
            <w:shd w:val="clear" w:color="auto" w:fill="D9E2F3"/>
          </w:tcPr>
          <w:p>
            <w:pPr>
              <w:spacing w:after="0"/>
            </w:pPr>
            <w:r>
              <w:rPr>
                <w:b/>
                <w:sz w:val="17"/>
              </w:rPr>
              <w:t>F-308-01 number (if deviation)</w:t>
            </w:r>
          </w:p>
        </w:tc>
        <w:tc>
          <w:tcPr>
            <w:tcW w:type="dxa" w:w="1063"/>
            <w:shd w:val="clear" w:color="auto" w:fill="D9E2F3"/>
          </w:tcPr>
          <w:p>
            <w:pPr>
              <w:spacing w:after="0"/>
            </w:pPr>
            <w:r>
              <w:rPr>
                <w:b/>
                <w:sz w:val="17"/>
              </w:rPr>
              <w:t>Closed (date)</w:t>
            </w: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bl>
    <w:p>
      <w:pPr>
        <w:spacing w:after="40"/>
      </w:pPr>
    </w:p>
    <w:p>
      <w:pPr>
        <w:spacing w:after="40"/>
      </w:pPr>
      <w:r>
        <w:rPr>
          <w:b w:val="0"/>
          <w:sz w:val="18"/>
        </w:rPr>
        <w:t>Observations, recommendations and overall conclusion:</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Report sign-off</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Auditor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PI or process owner (response)</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Quality Lead</w:t>
            </w:r>
          </w:p>
        </w:tc>
        <w:tc>
          <w:tcPr>
            <w:tcW w:type="dxa" w:w="3594"/>
          </w:tcPr>
          <w:p>
            <w:pPr>
              <w:spacing w:after="0"/>
            </w:pPr>
          </w:p>
        </w:tc>
        <w:tc>
          <w:tcPr>
            <w:tcW w:type="dxa" w:w="4147"/>
          </w:tcPr>
          <w:p>
            <w:pPr>
              <w:spacing w:after="0"/>
            </w:pPr>
          </w:p>
        </w:tc>
        <w:tc>
          <w:tcPr>
            <w:tcW w:type="dxa" w:w="2211"/>
          </w:tcPr>
          <w:p>
            <w:pPr>
              <w:spacing w:after="0"/>
            </w:pPr>
          </w:p>
        </w:tc>
      </w:tr>
    </w:tbl>
    <w:p>
      <w:pPr>
        <w:spacing w:after="40"/>
      </w:pPr>
    </w:p>
    <w:p>
      <w:pPr>
        <w:pStyle w:val="Heading2"/>
      </w:pPr>
      <w:r>
        <w:t>Part 3. Management review</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Review date</w:t>
            </w:r>
          </w:p>
        </w:tc>
        <w:tc>
          <w:tcPr>
            <w:tcW w:type="dxa" w:w="2447"/>
          </w:tcPr>
          <w:p/>
        </w:tc>
        <w:tc>
          <w:tcPr>
            <w:tcW w:type="dxa" w:w="2160"/>
            <w:shd w:val="clear" w:color="auto" w:fill="D9E2F3"/>
          </w:tcPr>
          <w:p>
            <w:pPr>
              <w:spacing w:after="0"/>
            </w:pPr>
            <w:r>
              <w:rPr>
                <w:b/>
                <w:sz w:val="17"/>
              </w:rPr>
              <w:t>Attendees (Site Director, Quality Lead, PIs)</w:t>
            </w:r>
          </w:p>
        </w:tc>
        <w:tc>
          <w:tcPr>
            <w:tcW w:type="dxa" w:w="2447"/>
          </w:tcPr>
          <w:p/>
        </w:tc>
        <w:tc>
          <w:tcPr>
            <w:tcW w:type="dxa" w:w="2160"/>
            <w:shd w:val="clear" w:color="auto" w:fill="D9E2F3"/>
          </w:tcPr>
          <w:p>
            <w:pPr>
              <w:spacing w:after="0"/>
            </w:pPr>
            <w:r>
              <w:rPr>
                <w:b/>
                <w:sz w:val="17"/>
              </w:rPr>
              <w:t>Trigger (annual, after a Form FDA 483, after a critical audit finding)</w:t>
            </w:r>
          </w:p>
        </w:tc>
        <w:tc>
          <w:tcPr>
            <w:tcW w:type="dxa" w:w="2447"/>
          </w:tcPr>
          <w:p/>
        </w:tc>
      </w:tr>
    </w:tbl>
    <w:p>
      <w:pPr>
        <w:spacing w:after="0"/>
      </w:pPr>
    </w:p>
    <w:p>
      <w:pPr>
        <w:pStyle w:val="Heading2"/>
      </w:pPr>
      <w:r>
        <w:t>Inputs reviewed</w:t>
      </w:r>
    </w:p>
    <w:tbl>
      <w:tblPr>
        <w:tblStyle w:val="TableGrid"/>
        <w:tblW w:type="auto" w:w="0"/>
        <w:jc w:val="left"/>
        <w:tblLayout w:type="fixed"/>
        <w:tblLook w:firstColumn="1" w:firstRow="1" w:lastColumn="0" w:lastRow="0" w:noHBand="0" w:noVBand="1" w:val="04A0"/>
      </w:tblPr>
      <w:tblGrid>
        <w:gridCol w:w="9072"/>
        <w:gridCol w:w="720"/>
        <w:gridCol w:w="720"/>
        <w:gridCol w:w="720"/>
        <w:gridCol w:w="2592"/>
      </w:tblGrid>
      <w:tr>
        <w:trPr>
          <w:tblHeader w:val="true"/>
        </w:trPr>
        <w:tc>
          <w:tcPr>
            <w:tcW w:type="dxa" w:w="9072"/>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720"/>
            <w:shd w:val="clear" w:color="auto" w:fill="D9E2F3"/>
          </w:tcPr>
          <w:p>
            <w:pPr>
              <w:spacing w:after="0"/>
            </w:pPr>
            <w:r>
              <w:rPr>
                <w:b/>
                <w:sz w:val="17"/>
              </w:rPr>
              <w:t>No</w:t>
            </w:r>
          </w:p>
        </w:tc>
        <w:tc>
          <w:tcPr>
            <w:tcW w:type="dxa" w:w="720"/>
            <w:shd w:val="clear" w:color="auto" w:fill="D9E2F3"/>
          </w:tcPr>
          <w:p>
            <w:pPr>
              <w:spacing w:after="0"/>
            </w:pPr>
            <w:r>
              <w:rPr>
                <w:b/>
                <w:sz w:val="17"/>
              </w:rPr>
              <w:t>N/A</w:t>
            </w:r>
          </w:p>
        </w:tc>
        <w:tc>
          <w:tcPr>
            <w:tcW w:type="dxa" w:w="2592"/>
            <w:shd w:val="clear" w:color="auto" w:fill="D9E2F3"/>
          </w:tcPr>
          <w:p>
            <w:pPr>
              <w:spacing w:after="0"/>
            </w:pPr>
            <w:r>
              <w:rPr>
                <w:b/>
                <w:sz w:val="17"/>
              </w:rPr>
              <w:t>Comment</w:t>
            </w:r>
          </w:p>
        </w:tc>
      </w:tr>
      <w:tr>
        <w:trPr>
          <w:cantSplit w:val="true"/>
          <w:trHeight w:val="403"/>
        </w:trPr>
        <w:tc>
          <w:tcPr>
            <w:tcW w:type="dxa" w:w="9072"/>
          </w:tcPr>
          <w:p>
            <w:pPr>
              <w:spacing w:after="0"/>
            </w:pPr>
            <w:r>
              <w:rPr>
                <w:b w:val="0"/>
                <w:sz w:val="17"/>
              </w:rPr>
              <w:t>Quality metrics and trends for the period</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Internal audit results and status of the audit plan</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Sponsor audits, IRB audits, FDA inspections and remote regulatory assessments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CAPA status and effectiveness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Integrity concerns under SOP-704 (summary, reporters not identified)</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Business continuity test results (SOP-705)</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Staffing, workload, training and resource needs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Regulatory changes and SOP review status (SOP-100)</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Decisions and actions</w:t>
      </w:r>
    </w:p>
    <w:tbl>
      <w:tblPr>
        <w:tblStyle w:val="TableGrid"/>
        <w:tblW w:type="auto" w:w="0"/>
        <w:jc w:val="left"/>
        <w:tblLayout w:type="fixed"/>
        <w:tblLook w:firstColumn="1" w:firstRow="1" w:lastColumn="0" w:lastRow="0" w:noHBand="0" w:noVBand="1" w:val="04A0"/>
      </w:tblPr>
      <w:tblGrid>
        <w:gridCol w:w="6912"/>
        <w:gridCol w:w="2764"/>
        <w:gridCol w:w="1382"/>
        <w:gridCol w:w="1382"/>
        <w:gridCol w:w="1382"/>
      </w:tblGrid>
      <w:tr>
        <w:trPr>
          <w:tblHeader w:val="true"/>
        </w:trPr>
        <w:tc>
          <w:tcPr>
            <w:tcW w:type="dxa" w:w="6912"/>
            <w:shd w:val="clear" w:color="auto" w:fill="D9E2F3"/>
          </w:tcPr>
          <w:p>
            <w:pPr>
              <w:spacing w:after="0"/>
            </w:pPr>
            <w:r>
              <w:rPr>
                <w:b/>
                <w:sz w:val="17"/>
              </w:rPr>
              <w:t>Decision or action</w:t>
            </w:r>
          </w:p>
        </w:tc>
        <w:tc>
          <w:tcPr>
            <w:tcW w:type="dxa" w:w="2764"/>
            <w:shd w:val="clear" w:color="auto" w:fill="D9E2F3"/>
          </w:tcPr>
          <w:p>
            <w:pPr>
              <w:spacing w:after="0"/>
            </w:pPr>
            <w:r>
              <w:rPr>
                <w:b/>
                <w:sz w:val="17"/>
              </w:rPr>
              <w:t>Owner</w:t>
            </w:r>
          </w:p>
        </w:tc>
        <w:tc>
          <w:tcPr>
            <w:tcW w:type="dxa" w:w="1382"/>
            <w:shd w:val="clear" w:color="auto" w:fill="D9E2F3"/>
          </w:tcPr>
          <w:p>
            <w:pPr>
              <w:spacing w:after="0"/>
            </w:pPr>
            <w:r>
              <w:rPr>
                <w:b/>
                <w:sz w:val="17"/>
              </w:rPr>
              <w:t>Due date</w:t>
            </w:r>
          </w:p>
        </w:tc>
        <w:tc>
          <w:tcPr>
            <w:tcW w:type="dxa" w:w="1382"/>
            <w:shd w:val="clear" w:color="auto" w:fill="D9E2F3"/>
          </w:tcPr>
          <w:p>
            <w:pPr>
              <w:spacing w:after="0"/>
            </w:pPr>
            <w:r>
              <w:rPr>
                <w:b/>
                <w:sz w:val="17"/>
              </w:rPr>
              <w:t>CAPA number (if a CAPA)</w:t>
            </w:r>
          </w:p>
        </w:tc>
        <w:tc>
          <w:tcPr>
            <w:tcW w:type="dxa" w:w="1382"/>
            <w:shd w:val="clear" w:color="auto" w:fill="D9E2F3"/>
          </w:tcPr>
          <w:p>
            <w:pPr>
              <w:spacing w:after="0"/>
            </w:pPr>
            <w:r>
              <w:rPr>
                <w:b/>
                <w:sz w:val="17"/>
              </w:rPr>
              <w:t>Date done</w:t>
            </w: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Management review sign-off</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Quality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Site Director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F-700-02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F-700-02 Annual Audit Plan and Audit Report</w:t>
          </w:r>
        </w:p>
      </w:tc>
      <w:tc>
        <w:tcPr>
          <w:tcW w:type="dxa" w:w="4147"/>
        </w:tcPr>
        <w:p>
          <w:pPr>
            <w:jc w:val="right"/>
          </w:pPr>
          <w:r>
            <w:rPr>
              <w:b w:val="0"/>
              <w:color w:val="404040"/>
              <w:sz w:val="17"/>
            </w:rPr>
            <w:t>Ref: SOP-700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F-700-02 Annual Audit Plan and Audit Report</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