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Internal QC Review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study QC plan agreed before the first consent, and each quality control review of a participant's records or a study file with the findings to correct.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Before the first participant is consented, the Quality Lead and Lead CRC complete Part 1. File it in the quality file with a copy in the ISF. Use the sampling defaults in SOP-700 5.2.3 unless a change and its reason are recorded.</w:t>
      </w:r>
    </w:p>
    <w:p>
      <w:pPr>
        <w:pStyle w:val="ListBullet"/>
        <w:spacing w:after="0"/>
      </w:pPr>
      <w:r>
        <w:rPr>
          <w:b w:val="0"/>
          <w:sz w:val="18"/>
        </w:rPr>
        <w:t>QC is never self-review. A reviewer who is not an investigator checks only that a medical judgment was made and documented by a delegated investigator, and sends questions to the PI.</w:t>
      </w:r>
    </w:p>
    <w:p>
      <w:pPr>
        <w:pStyle w:val="ListBullet"/>
        <w:spacing w:after="0"/>
      </w:pPr>
      <w:r>
        <w:rPr>
          <w:b w:val="0"/>
          <w:sz w:val="18"/>
        </w:rPr>
        <w:t xml:space="preserve">Complete Part 2 for each review within the timing in Part 1 </w:t>
      </w:r>
      <w:r>
        <w:rPr>
          <w:b w:val="0"/>
          <w:sz w:val="18"/>
          <w:highlight w:val="green"/>
        </w:rPr>
        <w:t>[DEFAULT: consent QC within the time in SOP-301, 5.11.3; eligibility QC for the first 3 participants before randomization or first dose (5.2.3)]</w:t>
      </w:r>
      <w:r>
        <w:rPr>
          <w:b w:val="0"/>
          <w:sz w:val="18"/>
        </w:rPr>
        <w:t>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Return each finding to the record owner, who corrects it under SOP-306 and records the date. The reviewer confirms and closes it. Critical findings go to the PI and Quality Lead the same day; major findings within </w:t>
      </w:r>
      <w:r>
        <w:rPr>
          <w:b w:val="0"/>
          <w:sz w:val="18"/>
          <w:highlight w:val="green"/>
        </w:rPr>
        <w:t>[DEFAULT: 2 business days]</w:t>
      </w:r>
      <w:r>
        <w:rPr>
          <w:b w:val="0"/>
          <w:sz w:val="18"/>
        </w:rPr>
        <w:t>. A finding that is a deviation also goes on F-308-01.</w:t>
      </w:r>
    </w:p>
    <w:p>
      <w:pPr>
        <w:pStyle w:val="ListBullet"/>
        <w:spacing w:after="0"/>
      </w:pPr>
      <w:r>
        <w:rPr>
          <w:b w:val="0"/>
          <w:sz w:val="18"/>
        </w:rPr>
        <w:t>A possible fabrication or falsification is not discussed with the person involved. Report it to the Quality Lead or Site Director under SOP-704.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Quality Lead reviews completed Part 2 records at least </w:t>
      </w:r>
      <w:r>
        <w:rPr>
          <w:b w:val="0"/>
          <w:sz w:val="18"/>
          <w:highlight w:val="green"/>
        </w:rPr>
        <w:t>[DEFAULT: monthly]</w:t>
      </w:r>
      <w:r>
        <w:rPr>
          <w:b w:val="0"/>
          <w:sz w:val="18"/>
        </w:rPr>
        <w:t>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Part 1. Study QC plan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Plan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Lead CRC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Quality Lead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Reviewers assigned (trained on SOP-700 and the protocol, F-103-01)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QC performed by (internal reviewers only, external QC service, or both)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External QC provider and F-105-01 date (if used)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Copy filed in ISF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spacing w:after="40"/>
      </w:pPr>
      <w:r>
        <w:rPr>
          <w:b w:val="0"/>
          <w:sz w:val="18"/>
        </w:rPr>
        <w:t>Critical to quality factors for this study (from the protocol, the sponsor's risk information and site experience):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Sampling plan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Consent: sampling and timing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Re-consent: sampling and timing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Eligibility: sampling and timing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IP accountability and temperature records: frequency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Safety reporting timeliness: sampling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Source to CRF: visits sampled and focus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Other areas and sampling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Sampling changes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4"/>
        <w:gridCol w:w="1929"/>
        <w:gridCol w:w="3859"/>
        <w:gridCol w:w="1929"/>
        <w:gridCol w:w="964"/>
      </w:tblGrid>
      <w:tr>
        <w:trPr>
          <w:tblHeader w:val="true"/>
        </w:trPr>
        <w:tc>
          <w:tcPr>
            <w:tcW w:type="dxa" w:w="9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Change (reduce, increase, return to 100%)</w:t>
            </w:r>
          </w:p>
        </w:tc>
        <w:tc>
          <w:tcPr>
            <w:tcW w:type="dxa" w:w="385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Reason (for example risk, critical finding, repeat major findings, monitor finding, amendment)</w:t>
            </w:r>
          </w:p>
        </w:tc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Applies to (study or staff member)</w:t>
            </w:r>
          </w:p>
        </w:tc>
        <w:tc>
          <w:tcPr>
            <w:tcW w:type="dxa" w:w="96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Normal sampling resumed (date)</w:t>
            </w: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3859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96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385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 2. QC 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Participant ID or file reviewed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Visit or record reviewed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Activity performed by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 type (first participants, sample, 100% after trigger, pre-audit, closeout)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Review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Current IRB-approved consent signed and dated before any study procedure, with F-301-01 complete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Eligibility checked against source and confirmed by an investigator before enrollment (F-303-02)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Source records attributable, legible, contemporaneous, original, accurate and complete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Visits within protocol windows; missed procedures recorded as deviations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Adverse events captured, assessed and signed off by an investigator, and reported on time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Concomitant medications recorded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IP dispensing, returns and temperature records match F-304-01, F-304-04, F-304-02 and IRT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Primary endpoint and key safety data in EDC match source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Everyone who performed a task was delegated and trained before doing it (F-302-01, F-103-01)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Deviations recorded and reported (F-308-01)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ISF current, including IRB approvals and consent versions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Findings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77"/>
        <w:gridCol w:w="3508"/>
        <w:gridCol w:w="877"/>
        <w:gridCol w:w="1754"/>
        <w:gridCol w:w="1754"/>
        <w:gridCol w:w="877"/>
      </w:tblGrid>
      <w:tr>
        <w:trPr>
          <w:tblHeader w:val="true"/>
        </w:trPr>
        <w:tc>
          <w:tcPr>
            <w:tcW w:type="dxa" w:w="87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Finding number</w:t>
            </w:r>
          </w:p>
        </w:tc>
        <w:tc>
          <w:tcPr>
            <w:tcW w:type="dxa" w:w="3508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Description and record</w:t>
            </w:r>
          </w:p>
        </w:tc>
        <w:tc>
          <w:tcPr>
            <w:tcW w:type="dxa" w:w="87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Grade (critical, major, minor)</w:t>
            </w:r>
          </w:p>
        </w:tc>
        <w:tc>
          <w:tcPr>
            <w:tcW w:type="dxa" w:w="175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 owner and correction date</w:t>
            </w:r>
          </w:p>
        </w:tc>
        <w:tc>
          <w:tcPr>
            <w:tcW w:type="dxa" w:w="175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to PI and Quality Lead (date); F-308-01 or CAPA number</w:t>
            </w:r>
          </w:p>
        </w:tc>
        <w:tc>
          <w:tcPr>
            <w:tcW w:type="dxa" w:w="877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QC closed (date)</w:t>
            </w: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3508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1754"/>
          </w:tcPr>
          <w:p>
            <w:pPr>
              <w:spacing w:after="0"/>
            </w:pPr>
          </w:p>
        </w:tc>
        <w:tc>
          <w:tcPr>
            <w:tcW w:type="dxa" w:w="877"/>
          </w:tcPr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Reviewer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Quality Lead (monthly review)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F-700-01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F-700-01 Internal QC Review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SOP-700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F-700-01 Internal QC Review Checklist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