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Monitoring Follow-Up Action Tracker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Tracks each finding or action item from monitoring visits to resolution.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Lead CRC enters findings and action items at the exit meeting without waiting for the letter, checks the follow-up letter within </w:t>
      </w:r>
      <w:r>
        <w:rPr>
          <w:b w:val="0"/>
          <w:sz w:val="18"/>
          <w:highlight w:val="green"/>
        </w:rPr>
        <w:t>[DEFAULT: 5 business days of receipt]</w:t>
      </w:r>
      <w:r>
        <w:rPr>
          <w:b w:val="0"/>
          <w:sz w:val="18"/>
        </w:rPr>
        <w:t>, and adds any missing items. Also enter systemic findings from centralized monitoring.</w:t>
      </w:r>
    </w:p>
    <w:p>
      <w:pPr>
        <w:pStyle w:val="ListBullet"/>
        <w:spacing w:after="0"/>
      </w:pPr>
      <w:r>
        <w:rPr>
          <w:b w:val="0"/>
          <w:sz w:val="18"/>
        </w:rPr>
        <w:t xml:space="preserve">Assign an owner, due date and status. Use the sponsor's timeline, or </w:t>
      </w:r>
      <w:r>
        <w:rPr>
          <w:b w:val="0"/>
          <w:sz w:val="18"/>
          <w:highlight w:val="green"/>
        </w:rPr>
        <w:t>[DEFAULT: 30 calendar days or before the next visit, whichever comes first]</w:t>
      </w:r>
      <w:r>
        <w:rPr>
          <w:b w:val="0"/>
          <w:sz w:val="18"/>
        </w:rPr>
        <w:t xml:space="preserve"> if none is given.</w:t>
      </w:r>
    </w:p>
    <w:p>
      <w:pPr>
        <w:pStyle w:val="ListBullet"/>
        <w:spacing w:after="0"/>
      </w:pPr>
      <w:r>
        <w:rPr>
          <w:b w:val="0"/>
          <w:sz w:val="18"/>
        </w:rPr>
        <w:t>Take findings on participant safety, consent, eligibility or IP to the PI the day they are identified. Escalate overdue or repeated items to the PI and Quality Lead; the Quality Lead records the CAPA decision.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PI reviews the tracker at least </w:t>
      </w:r>
      <w:r>
        <w:rPr>
          <w:b w:val="0"/>
          <w:sz w:val="18"/>
          <w:highlight w:val="green"/>
        </w:rPr>
        <w:t>[DEFAULT: monthly]</w:t>
      </w:r>
      <w:r>
        <w:rPr>
          <w:b w:val="0"/>
          <w:sz w:val="18"/>
        </w:rPr>
        <w:t xml:space="preserve"> and initials the review below.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or CRO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3"/>
        <w:gridCol w:w="1595"/>
        <w:gridCol w:w="2658"/>
        <w:gridCol w:w="1063"/>
        <w:gridCol w:w="1063"/>
        <w:gridCol w:w="1063"/>
        <w:gridCol w:w="1063"/>
        <w:gridCol w:w="2126"/>
        <w:gridCol w:w="1063"/>
        <w:gridCol w:w="1063"/>
      </w:tblGrid>
      <w:tr>
        <w:trPr>
          <w:tblHeader w:val="true"/>
        </w:trPr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 number</w:t>
            </w:r>
          </w:p>
        </w:tc>
        <w:tc>
          <w:tcPr>
            <w:tcW w:type="dxa" w:w="1595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date and source (exit meeting, letter, central)</w:t>
            </w:r>
          </w:p>
        </w:tc>
        <w:tc>
          <w:tcPr>
            <w:tcW w:type="dxa" w:w="265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Finding or action item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Status (open, overdue, escalated, closed)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Resolution; F-308-01 number; Quality Lead CAPA decision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resolved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Verified by</w:t>
            </w: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2658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PI reviews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04"/>
        <w:gridCol w:w="2304"/>
        <w:gridCol w:w="9216"/>
      </w:tblGrid>
      <w:tr>
        <w:trPr>
          <w:tblHeader w:val="true"/>
        </w:trPr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PI review date</w:t>
            </w:r>
          </w:p>
        </w:tc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PI initials</w:t>
            </w:r>
          </w:p>
        </w:tc>
        <w:tc>
          <w:tcPr>
            <w:tcW w:type="dxa" w:w="92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Comments</w:t>
            </w: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921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921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921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921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921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9216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F-600-02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F-600-02 Monitoring Follow-Up Action Tracker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SOP-600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F-600-02 Monitoring Follow-Up Action Tracker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