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Reportable New Information Assessment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the PI's assessment of whether new information or an event must be reported to the IRB, and tracks the submission.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the first participant, the Regulatory Coordinator completes the IRB page from the IRB's current reportable-event policy.</w:t>
      </w:r>
    </w:p>
    <w:p>
      <w:pPr>
        <w:pStyle w:val="ListBullet"/>
        <w:spacing w:after="0"/>
      </w:pPr>
      <w:r>
        <w:rPr>
          <w:b w:val="0"/>
          <w:sz w:val="18"/>
        </w:rPr>
        <w:t>Open an assessment the day the site learns of potentially reportable information. Record the awareness date.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PI, or a delegated Sub-I for medical events, assesses the information. The PI records the determination and signs in time to submit within the IRB window </w:t>
      </w:r>
      <w:r>
        <w:rPr>
          <w:b w:val="0"/>
          <w:sz w:val="18"/>
          <w:highlight w:val="green"/>
        </w:rPr>
        <w:t>[DEFAULT: 5 calendar days of awareness]</w:t>
      </w:r>
      <w:r>
        <w:rPr>
          <w:b w:val="0"/>
          <w:sz w:val="18"/>
        </w:rPr>
        <w:t xml:space="preserve"> where the IRB policy is silent.</w:t>
      </w:r>
    </w:p>
    <w:p>
      <w:pPr>
        <w:pStyle w:val="ListBullet"/>
        <w:spacing w:after="0"/>
      </w:pPr>
      <w:r>
        <w:rPr>
          <w:b w:val="0"/>
          <w:sz w:val="18"/>
        </w:rPr>
        <w:t>Where participants face an immediate hazard, the PI acts first and reports afterwards. Inform the sponsor before or at the time of IRB submission.</w:t>
      </w:r>
    </w:p>
    <w:p>
      <w:pPr>
        <w:pStyle w:val="ListBullet"/>
        <w:spacing w:after="0"/>
      </w:pPr>
      <w:r>
        <w:rPr>
          <w:b w:val="0"/>
          <w:sz w:val="18"/>
        </w:rPr>
        <w:t>Submit through the IRB's system, file the IRB's determination with this form, and track every IRB-required action until closed. A late submission states the reason and is also a deviation on F-308-01.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Assessment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IRB page (complete once per IRB and update when policy changes)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reportable categories (attach or summarize)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reporting window, exactly as the policy states (calendar or business days)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Submission route (portal form name)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Events the IRB does not want reported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Policy version and date checked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 safety reports to the IRB, per study: sponsor submits on the investigator's behalf (confirmation filed) / site submits / IRB's written instruction where it declines them (SOP-501 5.10.4; SOP-502 5.2.5)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Information received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site became aware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Source (site event, IND safety report, DSMB, audit, complaint, deviation, other)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(if applicable)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spacing w:after="40"/>
      </w:pPr>
      <w:r>
        <w:rPr>
          <w:b w:val="0"/>
          <w:sz w:val="18"/>
        </w:rPr>
        <w:t>Description: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Unanticipated problem criteria (all three must be Yes)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Unexpected in nature, severity or frequency given the protocol, IB and consent form and the population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Related or possibly related to participation in the research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Suggests the research places participants or others at greater risk of harm than previously known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Other considerations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Falls in another IRB reportable category (name the category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Consent form or protocol change needed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Current participants need to be told or re-consented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Sponsor agrees with the determination (if No, record the disagreement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Actions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Immediate protective actions taken or planned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informed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Determination and submission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Determination (reportable: category / not reportable: rationale)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due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submitted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Late: reason and F-308-01 number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determination and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IRB-required actions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13"/>
        <w:gridCol w:w="1378"/>
        <w:gridCol w:w="1378"/>
        <w:gridCol w:w="1378"/>
      </w:tblGrid>
      <w:tr>
        <w:trPr>
          <w:tblHeader w:val="true"/>
        </w:trPr>
        <w:tc>
          <w:tcPr>
            <w:tcW w:type="dxa" w:w="551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Action required by IRB (re-consent, consent revision, training, corrective action plan)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closed</w:t>
            </w: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13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F-502-01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F-502-01 Reportable New Information Assessment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SOP-502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F-502-01 Reportable New Information Assessment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