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SAE Reporting Tracker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Tracks each serious adverse event from site awareness through initial and follow-up reports to the sponsor, and any IRB or FDA report.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Before activation, the Lead CRC completes the study page with the protocol's reporting rules and contacts.</w:t>
      </w:r>
    </w:p>
    <w:p>
      <w:pPr>
        <w:pStyle w:val="ListBullet"/>
        <w:spacing w:after="0"/>
      </w:pPr>
      <w:r>
        <w:rPr>
          <w:b w:val="0"/>
          <w:sz w:val="18"/>
        </w:rPr>
        <w:t>Give each SAE a site event number (for example 001) and use it with the participant ID on every part.</w:t>
      </w:r>
    </w:p>
    <w:p>
      <w:pPr>
        <w:pStyle w:val="ListBullet"/>
        <w:spacing w:after="0"/>
      </w:pPr>
      <w:r>
        <w:rPr>
          <w:b w:val="0"/>
          <w:sz w:val="18"/>
        </w:rPr>
        <w:t>Day 0 is the date any site staff member first received the information. Record it even if information is incomplete. Onset date is the date the event began.</w:t>
      </w:r>
    </w:p>
    <w:p>
      <w:pPr>
        <w:pStyle w:val="ListBullet"/>
        <w:spacing w:after="0"/>
      </w:pPr>
      <w:r>
        <w:rPr>
          <w:b w:val="0"/>
          <w:sz w:val="18"/>
        </w:rPr>
        <w:t>Seriousness criterion codes (record each that applies): D = death. LT = life-threatening. H = inpatient hospitalization or prolonged hospitalization. DI = persistent or significant disability or incapacity. CA = congenital anomaly or birth defect. IME = important medical event (SOP-501 section 4). For H, record admit and discharge dates (SOP-501 5.3.4); write "ongoing" until discharge.</w:t>
      </w:r>
    </w:p>
    <w:p>
      <w:pPr>
        <w:pStyle w:val="ListBullet"/>
        <w:spacing w:after="0"/>
      </w:pPr>
      <w:r>
        <w:rPr>
          <w:b w:val="0"/>
          <w:sz w:val="18"/>
        </w:rPr>
        <w:t>The investigator reports every SAE to the sponsor immediately (21 CFR 312.64(b)) and within the protocol timeline, with a causality assessment. Record the result (related or not related, in the sponsor's terms), the investigator who assessed it and the date. A later change in causality is a follow-up report in Part 3. For devices, UADEs go to the sponsor and IRB within 10 working days (21 CFR 812.150(a)(1)).</w:t>
      </w:r>
    </w:p>
    <w:p>
      <w:pPr>
        <w:pStyle w:val="ListBullet"/>
        <w:spacing w:after="0"/>
      </w:pPr>
      <w:r>
        <w:rPr>
          <w:b w:val="0"/>
          <w:sz w:val="18"/>
        </w:rPr>
        <w:t>Report to the IRB only when the event meets the IRB's reportable-event policy (SOP-502, F-502-01). A late report is also a deviation on F-308-01.</w:t>
      </w:r>
    </w:p>
    <w:p>
      <w:pPr>
        <w:pStyle w:val="ListBullet"/>
        <w:spacing w:after="0"/>
      </w:pPr>
      <w:r>
        <w:rPr>
          <w:b w:val="0"/>
          <w:sz w:val="18"/>
        </w:rPr>
        <w:t>Sponsor-investigator studies: the Regulatory Coordinator logs each IND safety report or UADE report to FDA and its due date in Part 3 (SOP-800).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Quality Lead reviews the tracker for timeliness at the quality review held at least </w:t>
      </w:r>
      <w:r>
        <w:rPr>
          <w:b w:val="0"/>
          <w:sz w:val="18"/>
          <w:highlight w:val="green"/>
        </w:rPr>
        <w:t>[DEFAULT: quarterly]</w:t>
      </w:r>
      <w:r>
        <w:rPr>
          <w:b w:val="0"/>
          <w:sz w:val="18"/>
        </w:rPr>
        <w:t xml:space="preserve"> (SOP-700 5.7.1).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number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Study page (complete once per study)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Initial and follow-up reporting timeline (from protocol)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Reporting method and back-up method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SAE collection window and post-study rule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exclusions (planned hospitalizations, endpoint events)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safety contact and medical monitor (phone, email)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Device reporting rules (SADE, UADE, device deficiency), if applicable</w:t>
            </w:r>
          </w:p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1. Event details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382"/>
        <w:gridCol w:w="1382"/>
        <w:gridCol w:w="4147"/>
        <w:gridCol w:w="1382"/>
        <w:gridCol w:w="1382"/>
        <w:gridCol w:w="1382"/>
        <w:gridCol w:w="1382"/>
        <w:gridCol w:w="1382"/>
      </w:tblGrid>
      <w:tr>
        <w:trPr>
          <w:tblHeader w:val="true"/>
        </w:trPr>
        <w:tc>
          <w:tcPr>
            <w:tcW w:type="dxa" w:w="138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</w:t>
            </w:r>
          </w:p>
        </w:tc>
        <w:tc>
          <w:tcPr>
            <w:tcW w:type="dxa" w:w="138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Event no.</w:t>
            </w:r>
          </w:p>
        </w:tc>
        <w:tc>
          <w:tcPr>
            <w:tcW w:type="dxa" w:w="4147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SAE term</w:t>
            </w:r>
          </w:p>
        </w:tc>
        <w:tc>
          <w:tcPr>
            <w:tcW w:type="dxa" w:w="138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Onset date</w:t>
            </w:r>
          </w:p>
        </w:tc>
        <w:tc>
          <w:tcPr>
            <w:tcW w:type="dxa" w:w="138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Seriousness criterion (codes)</w:t>
            </w:r>
          </w:p>
        </w:tc>
        <w:tc>
          <w:tcPr>
            <w:tcW w:type="dxa" w:w="138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Admit date</w:t>
            </w:r>
          </w:p>
        </w:tc>
        <w:tc>
          <w:tcPr>
            <w:tcW w:type="dxa" w:w="138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Discharge date</w:t>
            </w:r>
          </w:p>
        </w:tc>
        <w:tc>
          <w:tcPr>
            <w:tcW w:type="dxa" w:w="138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Day 0 (site aware)</w:t>
            </w: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2. Initial report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56"/>
        <w:gridCol w:w="1256"/>
        <w:gridCol w:w="1256"/>
        <w:gridCol w:w="1256"/>
        <w:gridCol w:w="1256"/>
        <w:gridCol w:w="1256"/>
        <w:gridCol w:w="2513"/>
        <w:gridCol w:w="1256"/>
        <w:gridCol w:w="1256"/>
        <w:gridCol w:w="1256"/>
      </w:tblGrid>
      <w:tr>
        <w:trPr>
          <w:tblHeader w:val="true"/>
        </w:trPr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 and event no.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Initial report due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and time reported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Method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Submitted by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Causality (related / not related)</w:t>
            </w:r>
          </w:p>
        </w:tc>
        <w:tc>
          <w:tcPr>
            <w:tcW w:type="dxa" w:w="251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Assessed by (investigator) and date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Investigator signed SAE form (date)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ack. (date)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Late: F-308-01 no.</w:t>
            </w: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3. Follow-up and other reports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56"/>
        <w:gridCol w:w="2513"/>
        <w:gridCol w:w="2513"/>
        <w:gridCol w:w="1256"/>
        <w:gridCol w:w="1256"/>
        <w:gridCol w:w="2513"/>
        <w:gridCol w:w="1256"/>
        <w:gridCol w:w="1256"/>
      </w:tblGrid>
      <w:tr>
        <w:trPr>
          <w:tblHeader w:val="true"/>
        </w:trPr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 and event no.</w:t>
            </w:r>
          </w:p>
        </w:tc>
        <w:tc>
          <w:tcPr>
            <w:tcW w:type="dxa" w:w="251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Follow-up no. and date</w:t>
            </w:r>
          </w:p>
        </w:tc>
        <w:tc>
          <w:tcPr>
            <w:tcW w:type="dxa" w:w="251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queries (received / answered)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UADE to sponsor and IRB (date)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reportable (Y/N) and date</w:t>
            </w:r>
          </w:p>
        </w:tc>
        <w:tc>
          <w:tcPr>
            <w:tcW w:type="dxa" w:w="251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FDA report due / submitted (sponsor-investigator IND safety report or UADE)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Final outcome and status (open, closed)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Initials</w:t>
            </w: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F-501-01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F-501-01 SAE Reporting Tracker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SOP-501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F-501-01 SAE Reporting Tracker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