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Record Archiving and Retrieval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study records sent to archive, where they are stored, when they may be destroyed, every retrieval, readability check, custody change, legal hold and destruction.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At contract execution, the Finance / Contracts Lead records the CTA retention clause in Part 1. Archive only after study close-out and the sponsor's confirmation of what to keep.</w:t>
      </w:r>
    </w:p>
    <w:p>
      <w:pPr>
        <w:pStyle w:val="ListBullet"/>
        <w:spacing w:after="0"/>
      </w:pPr>
      <w:r>
        <w:rPr>
          <w:b w:val="0"/>
          <w:sz w:val="18"/>
        </w:rPr>
        <w:t>Record the retention trigger and end date. For IND and IDE records the end date is "until the sponsor confirms in writing" unless the CTA sets a later fixed date. Do not calculate an FDA end date.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Record each retrieval and return so the location is always known. Check a sample of electronic archives for readability </w:t>
      </w:r>
      <w:r>
        <w:rPr>
          <w:b w:val="0"/>
          <w:sz w:val="18"/>
          <w:highlight w:val="green"/>
        </w:rPr>
        <w:t>[DEFAULT: every 2 years]</w:t>
      </w:r>
      <w:r>
        <w:rPr>
          <w:b w:val="0"/>
          <w:sz w:val="18"/>
        </w:rPr>
        <w:t xml:space="preserve">, and check the vendor's inventory against this log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 xml:space="preserve">Flag records under legal hold. Destroy records only with the sponsor's written authorization and Site Director approval, and keep the destruction record </w:t>
      </w:r>
      <w:r>
        <w:rPr>
          <w:b w:val="0"/>
          <w:sz w:val="18"/>
          <w:highlight w:val="green"/>
        </w:rPr>
        <w:t>[DEFAULT: permanently]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>File storage vendor agreements with F-105-01 and vendor transmittal receipts with this log.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 location or vendor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CTA retention clause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64"/>
        <w:gridCol w:w="1382"/>
        <w:gridCol w:w="2764"/>
        <w:gridCol w:w="2764"/>
        <w:gridCol w:w="2764"/>
        <w:gridCol w:w="1382"/>
      </w:tblGrid>
      <w:tr>
        <w:trPr>
          <w:tblHeader w:val="true"/>
        </w:trPr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Protocol and sponsor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Retention period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Retention trigger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notification before destruction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Who pays for storage and how long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Recorded by (date)</w:t>
            </w: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Archive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26"/>
        <w:gridCol w:w="1063"/>
        <w:gridCol w:w="3190"/>
        <w:gridCol w:w="1063"/>
        <w:gridCol w:w="2126"/>
        <w:gridCol w:w="2126"/>
        <w:gridCol w:w="1063"/>
        <w:gridCol w:w="1063"/>
      </w:tblGrid>
      <w:tr>
        <w:trPr>
          <w:tblHeader w:val="true"/>
        </w:trPr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and sponsor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Box or file ID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Contents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archived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location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trigger and end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Archived by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hold (Y/N, date placed and released)</w:t>
            </w: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Retrievals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3770"/>
        <w:gridCol w:w="2513"/>
        <w:gridCol w:w="1256"/>
        <w:gridCol w:w="1256"/>
        <w:gridCol w:w="1256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requested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Requester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requested (box or file ID)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Purpose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retrieved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Received by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returned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 on return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Periodic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36"/>
        <w:gridCol w:w="4608"/>
        <w:gridCol w:w="6144"/>
        <w:gridCol w:w="1536"/>
      </w:tblGrid>
      <w:tr>
        <w:trPr>
          <w:tblHeader w:val="true"/>
        </w:trPr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Check (readability sample, vendor inventory)</w:t>
            </w:r>
          </w:p>
        </w:tc>
        <w:tc>
          <w:tcPr>
            <w:tcW w:type="dxa" w:w="6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 and action</w:t>
            </w:r>
          </w:p>
        </w:tc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614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Custody transfers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2"/>
        <w:gridCol w:w="4147"/>
        <w:gridCol w:w="2764"/>
        <w:gridCol w:w="2764"/>
        <w:gridCol w:w="1382"/>
        <w:gridCol w:w="1382"/>
      </w:tblGrid>
      <w:tr>
        <w:trPr>
          <w:tblHeader w:val="true"/>
        </w:trPr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(protocol, box or file IDs)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New custodian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Custody agreement reference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notified (date)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FDA notified, IDE only (date)</w:t>
            </w: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Destruction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47"/>
        <w:gridCol w:w="2764"/>
        <w:gridCol w:w="1382"/>
        <w:gridCol w:w="1382"/>
        <w:gridCol w:w="1382"/>
        <w:gridCol w:w="2764"/>
      </w:tblGrid>
      <w:tr>
        <w:trPr>
          <w:tblHeader w:val="true"/>
        </w:trPr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destroyed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authorization reference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Director approval (date)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Method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destroyed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Destroyed or witnessed by</w:t>
            </w: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F-402-01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F-402-01 Record Archiving and Retrieval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SOP-402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F-402-01 Record Archiving and Retrieval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