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Privacy Incident Report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a possible or confirmed privacy or security incident involving participant information, the containment steps, the breach risk assessment and every notification made.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 xml:space="preserve">Any staff member who suspects an incident reports it to the Privacy Officer at once and no later than </w:t>
      </w:r>
      <w:r>
        <w:rPr>
          <w:b w:val="0"/>
          <w:sz w:val="18"/>
          <w:highlight w:val="green"/>
        </w:rPr>
        <w:t>[DEFAULT: the same business day]</w:t>
      </w:r>
      <w:r>
        <w:rPr>
          <w:b w:val="0"/>
          <w:sz w:val="18"/>
        </w:rPr>
        <w:t>. Security incidents also go to the Security Officer.</w:t>
      </w:r>
    </w:p>
    <w:p>
      <w:pPr>
        <w:pStyle w:val="ListBullet"/>
        <w:spacing w:after="0"/>
      </w:pPr>
      <w:r>
        <w:rPr>
          <w:b w:val="0"/>
          <w:sz w:val="18"/>
        </w:rPr>
        <w:t>The Privacy Officer opens this report, contains the incident first, and records each step with date and time.</w:t>
      </w:r>
    </w:p>
    <w:p>
      <w:pPr>
        <w:pStyle w:val="ListBullet"/>
        <w:spacing w:after="0"/>
      </w:pPr>
      <w:r>
        <w:rPr>
          <w:b w:val="0"/>
          <w:sz w:val="18"/>
        </w:rPr>
        <w:t>An impermissible use or disclosure is presumed a breach unless an exception applies or the documented risk assessment shows a low probability of compromise. The Site Director reviews the assessment, with legal advice where a breach is possible.</w:t>
      </w:r>
    </w:p>
    <w:p>
      <w:pPr>
        <w:pStyle w:val="ListBullet"/>
        <w:spacing w:after="0"/>
      </w:pPr>
      <w:r>
        <w:rPr>
          <w:b w:val="0"/>
          <w:sz w:val="18"/>
        </w:rPr>
        <w:t>Covered entity: notify individuals without unreasonable delay and no later than 60 calendar days after discovery (45 CFR 164.404). Not a covered entity: follow state law, the CTA and IRB policy (SOP-400 5.1.5). Check Appendix A for every state where affected individuals live.</w:t>
      </w:r>
    </w:p>
    <w:p>
      <w:pPr>
        <w:pStyle w:val="ListBullet"/>
        <w:spacing w:after="0"/>
      </w:pPr>
      <w:r>
        <w:rPr>
          <w:b w:val="0"/>
          <w:sz w:val="18"/>
        </w:rPr>
        <w:t xml:space="preserve">Keep each report in the privacy incident file. Systemic causes go to CAPA (SOP-703). The incident log is reviewed for trends at the quality review held at least </w:t>
      </w:r>
      <w:r>
        <w:rPr>
          <w:b w:val="0"/>
          <w:sz w:val="18"/>
          <w:highlight w:val="green"/>
        </w:rPr>
        <w:t>[DEFAULT: quarterly]</w:t>
      </w:r>
      <w:r>
        <w:rPr>
          <w:b w:val="0"/>
          <w:sz w:val="18"/>
        </w:rPr>
        <w:t xml:space="preserve"> (SOP-400 5.10.9; SOP-700 5.7.1).</w:t>
      </w:r>
    </w:p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Incident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and time discovered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Reported by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and time reported to Privacy Officer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Incident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of incident (or period)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of discovery (first day known to any staff member other than the person who caused it)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Location or system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Studies involved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Number of individuals affected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States of residence of those affected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Information involved (names, dates, diagnoses, SSN, other)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Part 2 (substance use disorder) records involved (Y/N)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Site role for this information (covered entity, business associate of another covered entity, not a covered entity)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Security Officer involved (Y/N)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Type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336"/>
        <w:gridCol w:w="720"/>
        <w:gridCol w:w="2592"/>
      </w:tblGrid>
      <w:tr>
        <w:trPr>
          <w:tblHeader w:val="true"/>
        </w:trPr>
        <w:tc>
          <w:tcPr>
            <w:tcW w:type="dxa" w:w="6336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2592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spacing w:after="0"/>
            </w:pPr>
            <w:r>
              <w:rPr>
                <w:b w:val="0"/>
                <w:sz w:val="17"/>
              </w:rPr>
              <w:t>Email or fax sent to the wrong recipient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spacing w:after="0"/>
            </w:pPr>
            <w:r>
              <w:rPr>
                <w:b w:val="0"/>
                <w:sz w:val="17"/>
              </w:rPr>
              <w:t>Lost or stolen device or paper records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spacing w:after="0"/>
            </w:pPr>
            <w:r>
              <w:rPr>
                <w:b w:val="0"/>
                <w:sz w:val="17"/>
              </w:rPr>
              <w:t>Unauthorized access or use by staff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spacing w:after="0"/>
            </w:pPr>
            <w:r>
              <w:rPr>
                <w:b w:val="0"/>
                <w:sz w:val="17"/>
              </w:rPr>
              <w:t>Phishing, malware or other cyber incident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spacing w:after="0"/>
            </w:pPr>
            <w:r>
              <w:rPr>
                <w:b w:val="0"/>
                <w:sz w:val="17"/>
              </w:rPr>
              <w:t>PHI sent to the wrong sponsor or monitor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spacing w:after="0"/>
            </w:pPr>
            <w:r>
              <w:rPr>
                <w:b w:val="0"/>
                <w:sz w:val="17"/>
              </w:rPr>
              <w:t>Improper disposal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spacing w:after="0"/>
            </w:pPr>
            <w:r>
              <w:rPr>
                <w:b w:val="0"/>
                <w:sz w:val="17"/>
              </w:rPr>
              <w:t>Disclosure beyond what the participant authorized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spacing w:after="0"/>
            </w:pPr>
            <w:r>
              <w:rPr>
                <w:b w:val="0"/>
                <w:sz w:val="17"/>
              </w:rPr>
              <w:t>Unauthorized person present at a telehealth visit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spacing w:after="0"/>
            </w:pPr>
            <w:r>
              <w:rPr>
                <w:b w:val="0"/>
                <w:sz w:val="17"/>
              </w:rPr>
              <w:t>Other (describe below)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Description</w:t>
      </w:r>
    </w:p>
    <w:p>
      <w:pPr>
        <w:spacing w:after="40"/>
      </w:pPr>
      <w:r>
        <w:rPr>
          <w:b w:val="0"/>
          <w:sz w:val="18"/>
        </w:rPr>
        <w:t>What happened: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Containment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1929"/>
        <w:gridCol w:w="5788"/>
        <w:gridCol w:w="1929"/>
      </w:tblGrid>
      <w:tr>
        <w:trPr>
          <w:tblHeader w:val="true"/>
        </w:trPr>
        <w:tc>
          <w:tcPr>
            <w:tcW w:type="dxa" w:w="1929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 and time</w:t>
            </w:r>
          </w:p>
        </w:tc>
        <w:tc>
          <w:tcPr>
            <w:tcW w:type="dxa" w:w="578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Containment step (for example email recalled, recipient deletion confirmed in writing, account disabled, device wiped)</w:t>
            </w:r>
          </w:p>
        </w:tc>
        <w:tc>
          <w:tcPr>
            <w:tcW w:type="dxa" w:w="1929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By</w:t>
            </w:r>
          </w:p>
        </w:tc>
      </w:tr>
      <w:tr>
        <w:trPr>
          <w:cantSplit w:val="true"/>
          <w:trHeight w:val="461"/>
        </w:trPr>
        <w:tc>
          <w:tcPr>
            <w:tcW w:type="dxa" w:w="1929"/>
          </w:tcPr>
          <w:p>
            <w:pPr>
              <w:keepNext/>
              <w:spacing w:after="0"/>
            </w:pPr>
          </w:p>
        </w:tc>
        <w:tc>
          <w:tcPr>
            <w:tcW w:type="dxa" w:w="5788"/>
          </w:tcPr>
          <w:p>
            <w:pPr>
              <w:keepNext/>
              <w:spacing w:after="0"/>
            </w:pPr>
          </w:p>
        </w:tc>
        <w:tc>
          <w:tcPr>
            <w:tcW w:type="dxa" w:w="1929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929"/>
          </w:tcPr>
          <w:p>
            <w:pPr>
              <w:keepNext/>
              <w:spacing w:after="0"/>
            </w:pPr>
          </w:p>
        </w:tc>
        <w:tc>
          <w:tcPr>
            <w:tcW w:type="dxa" w:w="5788"/>
          </w:tcPr>
          <w:p>
            <w:pPr>
              <w:keepNext/>
              <w:spacing w:after="0"/>
            </w:pPr>
          </w:p>
        </w:tc>
        <w:tc>
          <w:tcPr>
            <w:tcW w:type="dxa" w:w="1929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929"/>
          </w:tcPr>
          <w:p>
            <w:pPr>
              <w:keepNext/>
              <w:spacing w:after="0"/>
            </w:pPr>
          </w:p>
        </w:tc>
        <w:tc>
          <w:tcPr>
            <w:tcW w:type="dxa" w:w="5788"/>
          </w:tcPr>
          <w:p>
            <w:pPr>
              <w:keepNext/>
              <w:spacing w:after="0"/>
            </w:pPr>
          </w:p>
        </w:tc>
        <w:tc>
          <w:tcPr>
            <w:tcW w:type="dxa" w:w="1929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929"/>
          </w:tcPr>
          <w:p>
            <w:pPr>
              <w:keepNext/>
              <w:spacing w:after="0"/>
            </w:pPr>
          </w:p>
        </w:tc>
        <w:tc>
          <w:tcPr>
            <w:tcW w:type="dxa" w:w="5788"/>
          </w:tcPr>
          <w:p>
            <w:pPr>
              <w:keepNext/>
              <w:spacing w:after="0"/>
            </w:pPr>
          </w:p>
        </w:tc>
        <w:tc>
          <w:tcPr>
            <w:tcW w:type="dxa" w:w="1929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5788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Breach risk assessment (45 CFR 164.402)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896"/>
        <w:gridCol w:w="720"/>
        <w:gridCol w:w="720"/>
        <w:gridCol w:w="720"/>
        <w:gridCol w:w="2592"/>
      </w:tblGrid>
      <w:tr>
        <w:trPr>
          <w:tblHeader w:val="true"/>
        </w:trPr>
        <w:tc>
          <w:tcPr>
            <w:tcW w:type="dxa" w:w="489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N/A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 regulatory exception applies (record which below)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Information was encrypted or otherwise unusable to the recipient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Factor 1 assessed: nature and extent of the PHI, including identifiers and likelihood of re-identification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Factor 2 assessed: the unauthorized person who used or received the PHI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Factor 3 assessed: whether the PHI was actually acquired or viewed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Factor 4 assessed: the extent to which the risk has been mitigated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4896"/>
          </w:tcPr>
          <w:p>
            <w:pPr>
              <w:spacing w:after="0"/>
            </w:pPr>
            <w:r>
              <w:rPr>
                <w:b w:val="0"/>
                <w:sz w:val="17"/>
              </w:rPr>
              <w:t>Conclusion documented: low probability of compromise (no notification required) or breach (notify)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 w:val="0"/>
          <w:sz w:val="18"/>
        </w:rPr>
        <w:t>Rationale and supporting evidence for the conclusion: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Review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Reviewed by Site Director (date)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Legal advice obtained (Y/N, date)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Individual notice due date (60 calendar days after discovery, or state deadline if shorter)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Model N only: entities involved (SOP-905 5.9.2)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94"/>
        <w:gridCol w:w="2894"/>
        <w:gridCol w:w="1929"/>
        <w:gridCol w:w="1929"/>
      </w:tblGrid>
      <w:tr>
        <w:trPr>
          <w:tblHeader w:val="true"/>
        </w:trPr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Entity whose PHI is involved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Covered entity for the affected records</w:t>
            </w:r>
          </w:p>
        </w:tc>
        <w:tc>
          <w:tcPr>
            <w:tcW w:type="dxa" w:w="1929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Privacy Officer notified (date)</w:t>
            </w:r>
          </w:p>
        </w:tc>
        <w:tc>
          <w:tcPr>
            <w:tcW w:type="dxa" w:w="1929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Who assesses and notifies</w:t>
            </w:r>
          </w:p>
        </w:tc>
      </w:tr>
      <w:tr>
        <w:trPr>
          <w:cantSplit w:val="true"/>
          <w:trHeight w:val="461"/>
        </w:trPr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929"/>
          </w:tcPr>
          <w:p>
            <w:pPr>
              <w:keepNext/>
              <w:spacing w:after="0"/>
            </w:pPr>
          </w:p>
        </w:tc>
        <w:tc>
          <w:tcPr>
            <w:tcW w:type="dxa" w:w="1929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929"/>
          </w:tcPr>
          <w:p>
            <w:pPr>
              <w:keepNext/>
              <w:spacing w:after="0"/>
            </w:pPr>
          </w:p>
        </w:tc>
        <w:tc>
          <w:tcPr>
            <w:tcW w:type="dxa" w:w="1929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929"/>
          </w:tcPr>
          <w:p>
            <w:pPr>
              <w:keepNext/>
              <w:spacing w:after="0"/>
            </w:pPr>
          </w:p>
        </w:tc>
        <w:tc>
          <w:tcPr>
            <w:tcW w:type="dxa" w:w="1929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  <w:tc>
          <w:tcPr>
            <w:tcW w:type="dxa" w:w="1929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Notifications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3618"/>
        <w:gridCol w:w="1206"/>
        <w:gridCol w:w="1206"/>
        <w:gridCol w:w="1206"/>
        <w:gridCol w:w="1206"/>
        <w:gridCol w:w="1206"/>
      </w:tblGrid>
      <w:tr>
        <w:trPr>
          <w:tblHeader w:val="true"/>
        </w:trPr>
        <w:tc>
          <w:tcPr>
            <w:tcW w:type="dxa" w:w="361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Notification</w:t>
            </w:r>
          </w:p>
        </w:tc>
        <w:tc>
          <w:tcPr>
            <w:tcW w:type="dxa" w:w="120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Required (Y/N)</w:t>
            </w:r>
          </w:p>
        </w:tc>
        <w:tc>
          <w:tcPr>
            <w:tcW w:type="dxa" w:w="120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Due date</w:t>
            </w:r>
          </w:p>
        </w:tc>
        <w:tc>
          <w:tcPr>
            <w:tcW w:type="dxa" w:w="120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 sent</w:t>
            </w:r>
          </w:p>
        </w:tc>
        <w:tc>
          <w:tcPr>
            <w:tcW w:type="dxa" w:w="120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Method</w:t>
            </w:r>
          </w:p>
        </w:tc>
        <w:tc>
          <w:tcPr>
            <w:tcW w:type="dxa" w:w="120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By</w:t>
            </w:r>
          </w:p>
        </w:tc>
      </w:tr>
      <w:tr>
        <w:trPr>
          <w:cantSplit w:val="true"/>
          <w:trHeight w:val="461"/>
        </w:trPr>
        <w:tc>
          <w:tcPr>
            <w:tcW w:type="dxa" w:w="3618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618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618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618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618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618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  <w:tc>
          <w:tcPr>
            <w:tcW w:type="dxa" w:w="1206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3618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  <w:tc>
          <w:tcPr>
            <w:tcW w:type="dxa" w:w="1206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spacing w:after="40"/>
      </w:pPr>
      <w:r>
        <w:rPr>
          <w:b w:val="0"/>
          <w:sz w:val="18"/>
        </w:rPr>
        <w:t>Rows to consider: individuals; HHS (500 or more affected: at the same time as individual notice; fewer than 500: through the HHS portal within 60 days after the end of the calendar year of discovery); media (more than 500 residents of one state or jurisdiction); state attorney general or regulator (Appendix A); sponsor (Privacy Officer, per CTA); IRB (Regulatory Coordinator, per IRB policy, SOP-502); covered entity, if the site acted as its business associate (per BAA, no later than 60 days after discovery).</w:t>
      </w:r>
    </w:p>
    <w:p>
      <w:pPr>
        <w:pStyle w:val="Heading2"/>
      </w:pPr>
      <w:r>
        <w:t>Closure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CAPA required (Y/N) and CAPA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closed</w:t>
            </w:r>
          </w:p>
        </w:tc>
        <w:tc>
          <w:tcPr>
            <w:tcW w:type="dxa" w:w="2664"/>
          </w:tcPr>
          <w:p/>
        </w:tc>
      </w:tr>
    </w:tbl>
    <w:p>
      <w:pPr>
        <w:spacing w:after="0"/>
      </w:pP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Privacy Officer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Site Director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F-400-01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F-400-01 Privacy Incident Report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SOP-400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F-400-01 Privacy Incident Report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