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Participant Payment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every payment and reimbursement made to each participant in a study, for reconciliation and invoicing.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Record each payment at the time it is issued, using participant ID only. Never write a Social Security number on this log.</w:t>
      </w:r>
    </w:p>
    <w:p>
      <w:pPr>
        <w:pStyle w:val="ListBullet"/>
        <w:spacing w:after="0"/>
      </w:pPr>
      <w:r>
        <w:rPr>
          <w:b w:val="0"/>
          <w:sz w:val="18"/>
        </w:rPr>
        <w:t>Pay only the amounts in the IRB-approved payment schedule. Record reimbursements separately from visit payments, with the expense category.</w:t>
      </w:r>
    </w:p>
    <w:p>
      <w:pPr>
        <w:pStyle w:val="ListBullet"/>
        <w:spacing w:after="0"/>
      </w:pPr>
      <w:r>
        <w:rPr>
          <w:b w:val="0"/>
          <w:sz w:val="18"/>
        </w:rPr>
        <w:t>Record refusals of payment and vendor-issued payments so the record is complete. Where the schedule does not cover a partial or missed visit, record the PI's decision.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Finance / Contracts Lead reconciles the log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 xml:space="preserve"> against card platform or bank records, sponsor payments received and completed visits in EDC or the sponsor's payment report, and tracks calendar-year totals for tax reporting.</w:t>
      </w:r>
    </w:p>
    <w:p>
      <w:pPr>
        <w:pStyle w:val="ListBullet"/>
        <w:spacing w:after="0"/>
      </w:pPr>
      <w:r>
        <w:rPr>
          <w:b w:val="0"/>
          <w:sz w:val="18"/>
        </w:rPr>
        <w:t>The person who approves payments for a study does not reconcile it. At a site too small to separate these duties, the Site Director or Quality Lead reviews and initials each reconciliation.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Payment schedule version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Payment method or card platform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2304"/>
        <w:gridCol w:w="1152"/>
        <w:gridCol w:w="2304"/>
        <w:gridCol w:w="1152"/>
        <w:gridCol w:w="1152"/>
        <w:gridCol w:w="1152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issued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or reason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(visit payment, reimbursement and category, declined, other)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Amount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(card, check, other)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Card last 4 or check number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Issued by (initials)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decision for partial or missed visit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Reconciliations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4608"/>
        <w:gridCol w:w="4608"/>
        <w:gridCol w:w="1152"/>
        <w:gridCol w:w="1152"/>
      </w:tblGrid>
      <w:tr>
        <w:trPr>
          <w:tblHeader w:val="true"/>
        </w:trPr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Period reconciled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compared (F-310-01, card or bank, sponsor payments, EDC visits)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Differences and resolution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Reconciled by (date)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Reviewed by Site Director or Quality Lead (date)</w:t>
            </w: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Closeout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closeout reconciliation: all earned amounts paid and reimbursement claims closed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Unassigned cards deactivated or reassigned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Finance / Contracts Lead (final reconciliation)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F-310-01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F-310-01 Participant Payment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SOP-310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F-310-01 Participant Payment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