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Participant IP Dispensing and Return Log</w:t>
      </w:r>
    </w:p>
    <w:p>
      <w:r>
        <w:rPr>
          <w:b/>
          <w:sz w:val="18"/>
        </w:rPr>
        <w:t xml:space="preserve">Purpose: </w:t>
      </w:r>
      <w:r>
        <w:rPr>
          <w:b w:val="0"/>
          <w:sz w:val="18"/>
        </w:rPr>
        <w:t>Records, for one participant, each kit or unit of investigational product dispensed and returned, with the IRT confirmation and compliance, so accountability can be reconciled by participant.</w:t>
      </w:r>
    </w:p>
    <w:p>
      <w:pPr>
        <w:spacing w:after="0"/>
      </w:pPr>
      <w:r>
        <w:rPr>
          <w:b/>
          <w:sz w:val="18"/>
        </w:rPr>
        <w:t>Instructions</w:t>
      </w:r>
    </w:p>
    <w:p>
      <w:pPr>
        <w:pStyle w:val="ListBullet"/>
        <w:spacing w:after="0"/>
      </w:pPr>
      <w:r>
        <w:rPr>
          <w:b w:val="0"/>
          <w:sz w:val="18"/>
        </w:rPr>
        <w:t>Use one log per participant per IP and keep it with F-304-01 in the pharmacy file. Use the sponsor's log instead if the sponsor requires it.</w:t>
      </w:r>
    </w:p>
    <w:p>
      <w:pPr>
        <w:pStyle w:val="ListBullet"/>
        <w:spacing w:after="0"/>
      </w:pPr>
      <w:r>
        <w:rPr>
          <w:b w:val="0"/>
          <w:sz w:val="18"/>
        </w:rPr>
        <w:t>At dispensing, record one line per kit or unit IRT assigns: visit, date, kit or unit ID, IRT confirmation number, quantity dispensed and your initials. Enter the same kit on F-304-01 as code D (SOP-304 5.6.4).</w:t>
      </w:r>
    </w:p>
    <w:p>
      <w:pPr>
        <w:pStyle w:val="ListBullet"/>
        <w:spacing w:after="0"/>
      </w:pPr>
      <w:r>
        <w:rPr>
          <w:b w:val="0"/>
          <w:sz w:val="18"/>
        </w:rPr>
        <w:t>At return, record the date and quantity returned on the same line as the kit dispensed. Count in the participant's presence where practical and calculate compliance by the protocol or pharmacy manual method (SOP-304 5.7.2). Write "not returned" when the participant does not bring the IP back and record the reason in source (SOP-304 5.7.3).</w:t>
      </w:r>
    </w:p>
    <w:p>
      <w:pPr>
        <w:pStyle w:val="ListBullet"/>
        <w:spacing w:after="0"/>
      </w:pPr>
      <w:r>
        <w:rPr>
          <w:b w:val="0"/>
          <w:sz w:val="18"/>
        </w:rPr>
        <w:t>Compliance outside the protocol range goes to an investigator, who records the assessment in source (SOP-304 5.7.4). Store returned IP in the returned-IP area labeled by participant and visit (SOP-304 5.7.5).</w:t>
      </w:r>
    </w:p>
    <w:p>
      <w:pPr>
        <w:pStyle w:val="ListBullet"/>
        <w:spacing w:after="0"/>
      </w:pPr>
      <w:r>
        <w:rPr>
          <w:b w:val="0"/>
          <w:sz w:val="18"/>
        </w:rPr>
        <w:t>Controlled substances: where a two-person count applies (SOP-304 5.9.4), a second staff member checks the count and initials the last column. In a blinded study the second person follows SOP-304 5.9.4.1.</w:t>
      </w:r>
    </w:p>
    <w:p>
      <w:pPr>
        <w:pStyle w:val="ListBullet"/>
        <w:spacing w:after="0"/>
      </w:pPr>
      <w:r>
        <w:rPr>
          <w:b w:val="0"/>
          <w:sz w:val="18"/>
        </w:rPr>
        <w:t>Correct errors under SOP-306: a single line, initials, date and reason.</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Protocol number</w:t>
            </w:r>
          </w:p>
        </w:tc>
        <w:tc>
          <w:tcPr>
            <w:tcW w:type="dxa" w:w="2447"/>
          </w:tcPr>
          <w:p/>
        </w:tc>
        <w:tc>
          <w:tcPr>
            <w:tcW w:type="dxa" w:w="2160"/>
            <w:shd w:val="clear" w:color="auto" w:fill="D9E2F3"/>
          </w:tcPr>
          <w:p>
            <w:pPr>
              <w:spacing w:after="0"/>
            </w:pPr>
            <w:r>
              <w:rPr>
                <w:b/>
                <w:sz w:val="17"/>
              </w:rPr>
              <w:t>Participant ID</w:t>
            </w:r>
          </w:p>
        </w:tc>
        <w:tc>
          <w:tcPr>
            <w:tcW w:type="dxa" w:w="2447"/>
          </w:tcPr>
          <w:p/>
        </w:tc>
        <w:tc>
          <w:tcPr>
            <w:tcW w:type="dxa" w:w="2160"/>
            <w:shd w:val="clear" w:color="auto" w:fill="D9E2F3"/>
          </w:tcPr>
          <w:p>
            <w:pPr>
              <w:spacing w:after="0"/>
            </w:pPr>
            <w:r>
              <w:rPr>
                <w:b/>
                <w:sz w:val="17"/>
              </w:rPr>
              <w:t>IP name and strength</w:t>
            </w:r>
          </w:p>
        </w:tc>
        <w:tc>
          <w:tcPr>
            <w:tcW w:type="dxa" w:w="2447"/>
          </w:tcPr>
          <w:p/>
        </w:tc>
      </w:tr>
      <w:tr>
        <w:trPr>
          <w:trHeight w:val="432"/>
        </w:trPr>
        <w:tc>
          <w:tcPr>
            <w:tcW w:type="dxa" w:w="2160"/>
            <w:shd w:val="clear" w:color="auto" w:fill="D9E2F3"/>
          </w:tcPr>
          <w:p>
            <w:pPr>
              <w:spacing w:after="0"/>
            </w:pPr>
            <w:r>
              <w:rPr>
                <w:b/>
                <w:sz w:val="17"/>
              </w:rPr>
              <w:t>Site number</w:t>
            </w:r>
          </w:p>
        </w:tc>
        <w:tc>
          <w:tcPr>
            <w:tcW w:type="dxa" w:w="2447"/>
          </w:tcPr>
          <w:p/>
        </w:tc>
        <w:tc>
          <w:tcPr>
            <w:tcW w:type="dxa" w:w="2160"/>
            <w:shd w:val="clear" w:color="auto" w:fill="D9E2F3"/>
          </w:tcPr>
          <w:p>
            <w:pPr>
              <w:spacing w:after="0"/>
            </w:pPr>
            <w:r>
              <w:rPr>
                <w:b/>
                <w:sz w:val="17"/>
              </w:rPr>
              <w:t>Unit of count</w:t>
            </w:r>
          </w:p>
        </w:tc>
        <w:tc>
          <w:tcPr>
            <w:tcW w:type="dxa" w:w="2447"/>
          </w:tcPr>
          <w:p/>
        </w:tc>
        <w:tc>
          <w:tcPr>
            <w:tcW w:type="dxa" w:w="2160"/>
            <w:shd w:val="clear" w:color="auto" w:fill="D9E2F3"/>
          </w:tcPr>
          <w:p>
            <w:pPr>
              <w:spacing w:after="0"/>
            </w:pPr>
            <w:r>
              <w:rPr>
                <w:b/>
                <w:sz w:val="17"/>
              </w:rPr>
              <w:t>Controlled substance schedule (if any)</w:t>
            </w:r>
          </w:p>
        </w:tc>
        <w:tc>
          <w:tcPr>
            <w:tcW w:type="dxa" w:w="2447"/>
          </w:tcPr>
          <w:p/>
        </w:tc>
      </w:tr>
    </w:tbl>
    <w:p>
      <w:pPr>
        <w:spacing w:after="0"/>
      </w:pPr>
    </w:p>
    <w:tbl>
      <w:tblPr>
        <w:tblStyle w:val="TableGrid"/>
        <w:tblW w:type="auto" w:w="0"/>
        <w:jc w:val="left"/>
        <w:tblLayout w:type="fixed"/>
        <w:tblLook w:firstColumn="1" w:firstRow="1" w:lastColumn="0" w:lastRow="0" w:noHBand="0" w:noVBand="1" w:val="04A0"/>
      </w:tblPr>
      <w:tblGrid>
        <w:gridCol w:w="1063"/>
        <w:gridCol w:w="1063"/>
        <w:gridCol w:w="2126"/>
        <w:gridCol w:w="2126"/>
        <w:gridCol w:w="1063"/>
        <w:gridCol w:w="1063"/>
        <w:gridCol w:w="1063"/>
        <w:gridCol w:w="1063"/>
        <w:gridCol w:w="1063"/>
        <w:gridCol w:w="1063"/>
        <w:gridCol w:w="1063"/>
      </w:tblGrid>
      <w:tr>
        <w:trPr>
          <w:tblHeader w:val="true"/>
        </w:trPr>
        <w:tc>
          <w:tcPr>
            <w:tcW w:type="dxa" w:w="1063"/>
            <w:shd w:val="clear" w:color="auto" w:fill="D9E2F3"/>
          </w:tcPr>
          <w:p>
            <w:pPr>
              <w:spacing w:after="0"/>
            </w:pPr>
            <w:r>
              <w:rPr>
                <w:b/>
                <w:sz w:val="17"/>
              </w:rPr>
              <w:t>Visit</w:t>
            </w:r>
          </w:p>
        </w:tc>
        <w:tc>
          <w:tcPr>
            <w:tcW w:type="dxa" w:w="1063"/>
            <w:shd w:val="clear" w:color="auto" w:fill="D9E2F3"/>
          </w:tcPr>
          <w:p>
            <w:pPr>
              <w:spacing w:after="0"/>
            </w:pPr>
            <w:r>
              <w:rPr>
                <w:b/>
                <w:sz w:val="17"/>
              </w:rPr>
              <w:t>Date dispensed</w:t>
            </w:r>
          </w:p>
        </w:tc>
        <w:tc>
          <w:tcPr>
            <w:tcW w:type="dxa" w:w="2126"/>
            <w:shd w:val="clear" w:color="auto" w:fill="D9E2F3"/>
          </w:tcPr>
          <w:p>
            <w:pPr>
              <w:spacing w:after="0"/>
            </w:pPr>
            <w:r>
              <w:rPr>
                <w:b/>
                <w:sz w:val="17"/>
              </w:rPr>
              <w:t>Kit or unit ID</w:t>
            </w:r>
          </w:p>
        </w:tc>
        <w:tc>
          <w:tcPr>
            <w:tcW w:type="dxa" w:w="2126"/>
            <w:shd w:val="clear" w:color="auto" w:fill="D9E2F3"/>
          </w:tcPr>
          <w:p>
            <w:pPr>
              <w:spacing w:after="0"/>
            </w:pPr>
            <w:r>
              <w:rPr>
                <w:b/>
                <w:sz w:val="17"/>
              </w:rPr>
              <w:t>IRT confirmation no.</w:t>
            </w:r>
          </w:p>
        </w:tc>
        <w:tc>
          <w:tcPr>
            <w:tcW w:type="dxa" w:w="1063"/>
            <w:shd w:val="clear" w:color="auto" w:fill="D9E2F3"/>
          </w:tcPr>
          <w:p>
            <w:pPr>
              <w:spacing w:after="0"/>
            </w:pPr>
            <w:r>
              <w:rPr>
                <w:b/>
                <w:sz w:val="17"/>
              </w:rPr>
              <w:t>Qty dispensed</w:t>
            </w:r>
          </w:p>
        </w:tc>
        <w:tc>
          <w:tcPr>
            <w:tcW w:type="dxa" w:w="1063"/>
            <w:shd w:val="clear" w:color="auto" w:fill="D9E2F3"/>
          </w:tcPr>
          <w:p>
            <w:pPr>
              <w:spacing w:after="0"/>
            </w:pPr>
            <w:r>
              <w:rPr>
                <w:b/>
                <w:sz w:val="17"/>
              </w:rPr>
              <w:t>Initials</w:t>
            </w:r>
          </w:p>
        </w:tc>
        <w:tc>
          <w:tcPr>
            <w:tcW w:type="dxa" w:w="1063"/>
            <w:shd w:val="clear" w:color="auto" w:fill="D9E2F3"/>
          </w:tcPr>
          <w:p>
            <w:pPr>
              <w:spacing w:after="0"/>
            </w:pPr>
            <w:r>
              <w:rPr>
                <w:b/>
                <w:sz w:val="17"/>
              </w:rPr>
              <w:t>Date returned</w:t>
            </w:r>
          </w:p>
        </w:tc>
        <w:tc>
          <w:tcPr>
            <w:tcW w:type="dxa" w:w="1063"/>
            <w:shd w:val="clear" w:color="auto" w:fill="D9E2F3"/>
          </w:tcPr>
          <w:p>
            <w:pPr>
              <w:spacing w:after="0"/>
            </w:pPr>
            <w:r>
              <w:rPr>
                <w:b/>
                <w:sz w:val="17"/>
              </w:rPr>
              <w:t>Qty returned</w:t>
            </w:r>
          </w:p>
        </w:tc>
        <w:tc>
          <w:tcPr>
            <w:tcW w:type="dxa" w:w="1063"/>
            <w:shd w:val="clear" w:color="auto" w:fill="D9E2F3"/>
          </w:tcPr>
          <w:p>
            <w:pPr>
              <w:spacing w:after="0"/>
            </w:pPr>
            <w:r>
              <w:rPr>
                <w:b/>
                <w:sz w:val="17"/>
              </w:rPr>
              <w:t>Compliance %</w:t>
            </w:r>
          </w:p>
        </w:tc>
        <w:tc>
          <w:tcPr>
            <w:tcW w:type="dxa" w:w="1063"/>
            <w:shd w:val="clear" w:color="auto" w:fill="D9E2F3"/>
          </w:tcPr>
          <w:p>
            <w:pPr>
              <w:spacing w:after="0"/>
            </w:pPr>
            <w:r>
              <w:rPr>
                <w:b/>
                <w:sz w:val="17"/>
              </w:rPr>
              <w:t>Initials (return)</w:t>
            </w:r>
          </w:p>
        </w:tc>
        <w:tc>
          <w:tcPr>
            <w:tcW w:type="dxa" w:w="1063"/>
            <w:shd w:val="clear" w:color="auto" w:fill="D9E2F3"/>
          </w:tcPr>
          <w:p>
            <w:pPr>
              <w:spacing w:after="0"/>
            </w:pPr>
            <w:r>
              <w:rPr>
                <w:b/>
                <w:sz w:val="17"/>
              </w:rPr>
              <w:t>CS 2nd initials</w:t>
            </w: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r>
        <w:trPr>
          <w:cantSplit w:val="true"/>
          <w:trHeight w:val="461"/>
        </w:trPr>
        <w:tc>
          <w:tcPr>
            <w:tcW w:type="dxa" w:w="1063"/>
          </w:tcPr>
          <w:p>
            <w:pPr>
              <w:spacing w:after="0"/>
            </w:pPr>
          </w:p>
        </w:tc>
        <w:tc>
          <w:tcPr>
            <w:tcW w:type="dxa" w:w="1063"/>
          </w:tcPr>
          <w:p>
            <w:pPr>
              <w:spacing w:after="0"/>
            </w:pPr>
          </w:p>
        </w:tc>
        <w:tc>
          <w:tcPr>
            <w:tcW w:type="dxa" w:w="2126"/>
          </w:tcPr>
          <w:p>
            <w:pPr>
              <w:spacing w:after="0"/>
            </w:pPr>
          </w:p>
        </w:tc>
        <w:tc>
          <w:tcPr>
            <w:tcW w:type="dxa" w:w="2126"/>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c>
          <w:tcPr>
            <w:tcW w:type="dxa" w:w="1063"/>
          </w:tcPr>
          <w:p>
            <w:pPr>
              <w:spacing w:after="0"/>
            </w:pPr>
          </w:p>
        </w:tc>
      </w:tr>
    </w:tbl>
    <w:p>
      <w:pPr>
        <w:spacing w:after="4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Final reconciliation for this participant (IP Manager initials and date)</w:t>
            </w:r>
          </w:p>
        </w:tc>
        <w:tc>
          <w:tcPr>
            <w:tcW w:type="dxa" w:w="2447"/>
          </w:tcPr>
          <w:p/>
        </w:tc>
        <w:tc>
          <w:tcPr>
            <w:tcW w:type="dxa" w:w="2160"/>
            <w:shd w:val="clear" w:color="auto" w:fill="D9E2F3"/>
          </w:tcPr>
          <w:p>
            <w:pPr>
              <w:spacing w:after="0"/>
            </w:pPr>
            <w:r>
              <w:rPr>
                <w:b/>
                <w:sz w:val="17"/>
              </w:rPr>
              <w:t>Notes</w:t>
            </w:r>
          </w:p>
        </w:tc>
        <w:tc>
          <w:tcPr>
            <w:tcW w:type="dxa" w:w="2447"/>
          </w:tcPr>
          <w:p/>
        </w:tc>
        <w:tc>
          <w:tcPr>
            <w:tcW w:type="dxa" w:w="2160"/>
          </w:tcPr>
          <w:p/>
        </w:tc>
        <w:tc>
          <w:tcPr>
            <w:tcW w:type="dxa" w:w="2447"/>
          </w:tc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F-304-04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F-304-04 Participant IP Dispensing and Return Log</w:t>
          </w:r>
        </w:p>
      </w:tc>
      <w:tc>
        <w:tcPr>
          <w:tcW w:type="dxa" w:w="4147"/>
        </w:tcPr>
        <w:p>
          <w:pPr>
            <w:jc w:val="right"/>
          </w:pPr>
          <w:r>
            <w:rPr>
              <w:b w:val="0"/>
              <w:color w:val="404040"/>
              <w:sz w:val="17"/>
            </w:rPr>
            <w:t>Ref: SOP-304</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F-304-04 Participant IP Dispensing and Return Log</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