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Investigational Product Accountability Log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Site inventory ledger for one investigational product: every receipt, transfer, issue to a participant, return to sponsor and destruction, with a running balance. Per-participant dispensing, returns and compliance are on F-304-04.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Use one ledger per IP (and per strength or lot where the sponsor requires). Use the sponsor's logs instead if the sponsor requires them.</w:t>
      </w:r>
    </w:p>
    <w:p>
      <w:pPr>
        <w:pStyle w:val="ListBullet"/>
        <w:spacing w:after="0"/>
      </w:pPr>
      <w:r>
        <w:rPr>
          <w:b w:val="0"/>
          <w:sz w:val="18"/>
        </w:rPr>
        <w:t>Record each transaction when it happens and update the balance on every line. Balance = unused IP held at this location (available plus quarantined). Units must match the sponsor's unit of count (kit, bottle, vial, tablet, device).</w:t>
      </w:r>
    </w:p>
    <w:p>
      <w:pPr>
        <w:pStyle w:val="ListBullet"/>
        <w:spacing w:after="0"/>
      </w:pPr>
      <w:r>
        <w:rPr>
          <w:b w:val="0"/>
          <w:sz w:val="18"/>
        </w:rPr>
        <w:t>Each kit or unit issued to a participant gets one line here (code D, participant ID in Reference). Record the visit, IRT confirmation, return and compliance for that kit on F-304-04 Participant IP Dispensing and Return Log. Participant returns are recorded on F-304-04 only and do not change this balance.</w:t>
      </w:r>
    </w:p>
    <w:p>
      <w:pPr>
        <w:pStyle w:val="ListBullet"/>
        <w:spacing w:after="0"/>
      </w:pPr>
      <w:r>
        <w:rPr>
          <w:b w:val="0"/>
          <w:sz w:val="18"/>
        </w:rPr>
        <w:t>Transfers (TI, TO): write the other location, means of transport, sender and receiver in Reference (SOP-304 5.12.2). Record all IP leaving the site, unused or returned by participants, in Part 2.</w:t>
      </w:r>
    </w:p>
    <w:p>
      <w:pPr>
        <w:pStyle w:val="ListBullet"/>
        <w:spacing w:after="0"/>
      </w:pPr>
      <w:r>
        <w:rPr>
          <w:b w:val="0"/>
          <w:sz w:val="18"/>
        </w:rPr>
        <w:t xml:space="preserve">Reconcile the physical count with this ledger, F-304-04 and IRT </w:t>
      </w:r>
      <w:r>
        <w:rPr>
          <w:b w:val="0"/>
          <w:sz w:val="18"/>
          <w:highlight w:val="green"/>
        </w:rPr>
        <w:t>[DEFAULT: at least monthly]</w:t>
      </w:r>
      <w:r>
        <w:rPr>
          <w:b w:val="0"/>
          <w:sz w:val="18"/>
        </w:rPr>
        <w:t xml:space="preserve"> and before each monitoring visit, and record it in Part 3. Report any discrepancy you cannot resolve to the PI and the sponsor.</w:t>
      </w:r>
    </w:p>
    <w:p>
      <w:pPr>
        <w:pStyle w:val="ListBullet"/>
        <w:spacing w:after="0"/>
      </w:pPr>
      <w:r>
        <w:rPr>
          <w:b w:val="0"/>
          <w:sz w:val="18"/>
        </w:rPr>
        <w:t>Controlled substances: two staff count at receipt, at each reconciliation and before return or destruction, and both initial. Keep the DEA records separately (SOP-304 5.9).</w:t>
      </w:r>
    </w:p>
    <w:p>
      <w:pPr>
        <w:pStyle w:val="ListBullet"/>
        <w:spacing w:after="0"/>
      </w:pPr>
      <w:r>
        <w:rPr>
          <w:b w:val="0"/>
          <w:sz w:val="18"/>
        </w:rPr>
        <w:t>Correct errors under SOP-306: a single line, initials, date and reason. Never obscure the original entry.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IP name and strength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Storage condition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Site number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Unit of count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Controlled substance schedule (if any)</w:t>
            </w:r>
          </w:p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Part 1. Inventory ledger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63"/>
        <w:gridCol w:w="1063"/>
        <w:gridCol w:w="2126"/>
        <w:gridCol w:w="2126"/>
        <w:gridCol w:w="1063"/>
        <w:gridCol w:w="1063"/>
        <w:gridCol w:w="1063"/>
        <w:gridCol w:w="2126"/>
        <w:gridCol w:w="1063"/>
        <w:gridCol w:w="1063"/>
      </w:tblGrid>
      <w:tr>
        <w:trPr>
          <w:tblHeader w:val="true"/>
        </w:trPr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Code</w:t>
            </w:r>
          </w:p>
        </w:tc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Kit, unit or serial numbers</w:t>
            </w:r>
          </w:p>
        </w:tc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Lot and expiry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Qty in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Qty out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Balance</w:t>
            </w:r>
          </w:p>
        </w:tc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Reference (packing list, IRT, transfer, participant ID, certificate)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Initials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CS 2nd initials</w:t>
            </w: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Key</w:t>
      </w:r>
    </w:p>
    <w:p>
      <w:pPr>
        <w:spacing w:after="40"/>
      </w:pPr>
      <w:r>
        <w:rPr>
          <w:b w:val="0"/>
          <w:sz w:val="18"/>
        </w:rPr>
        <w:t>Codes: RC = received from sponsor. D = issued to a participant (details on F-304-04). TI = transferred in. TO = transferred out. RS = unused IP returned to sponsor. X = unused IP destroyed. Q = quarantined (no balance change; note why in Reference). E = expired (no balance change until returned or destroyed). A = adjustment after reconciliation (explain in Part 3).</w:t>
      </w:r>
    </w:p>
    <w:p>
      <w:pPr>
        <w:pStyle w:val="Heading2"/>
      </w:pPr>
      <w:r>
        <w:t>Part 2. IP leaving the site (SOP-304 5.13)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63"/>
        <w:gridCol w:w="2126"/>
        <w:gridCol w:w="3190"/>
        <w:gridCol w:w="1063"/>
        <w:gridCol w:w="1063"/>
        <w:gridCol w:w="3190"/>
        <w:gridCol w:w="1063"/>
        <w:gridCol w:w="1063"/>
      </w:tblGrid>
      <w:tr>
        <w:trPr>
          <w:tblHeader w:val="true"/>
        </w:trPr>
        <w:tc>
          <w:tcPr>
            <w:tcW w:type="dxa" w:w="106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212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Return to sponsor or destruction</w:t>
            </w:r>
          </w:p>
        </w:tc>
        <w:tc>
          <w:tcPr>
            <w:tcW w:type="dxa" w:w="319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Kit or unit numbers</w:t>
            </w:r>
          </w:p>
        </w:tc>
        <w:tc>
          <w:tcPr>
            <w:tcW w:type="dxa" w:w="106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Unused qty</w:t>
            </w:r>
          </w:p>
        </w:tc>
        <w:tc>
          <w:tcPr>
            <w:tcW w:type="dxa" w:w="106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Used or returned by participant (qty)</w:t>
            </w:r>
          </w:p>
        </w:tc>
        <w:tc>
          <w:tcPr>
            <w:tcW w:type="dxa" w:w="319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Sponsor authorization; shipment or certificate reference</w:t>
            </w:r>
          </w:p>
        </w:tc>
        <w:tc>
          <w:tcPr>
            <w:tcW w:type="dxa" w:w="106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By</w:t>
            </w:r>
          </w:p>
        </w:tc>
        <w:tc>
          <w:tcPr>
            <w:tcW w:type="dxa" w:w="106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CS 2nd person</w:t>
            </w: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2126"/>
          </w:tcPr>
          <w:p>
            <w:pPr>
              <w:keepNext/>
              <w:spacing w:after="0"/>
            </w:pPr>
          </w:p>
        </w:tc>
        <w:tc>
          <w:tcPr>
            <w:tcW w:type="dxa" w:w="3190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3190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2126"/>
          </w:tcPr>
          <w:p>
            <w:pPr>
              <w:keepNext/>
              <w:spacing w:after="0"/>
            </w:pPr>
          </w:p>
        </w:tc>
        <w:tc>
          <w:tcPr>
            <w:tcW w:type="dxa" w:w="3190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3190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2126"/>
          </w:tcPr>
          <w:p>
            <w:pPr>
              <w:keepNext/>
              <w:spacing w:after="0"/>
            </w:pPr>
          </w:p>
        </w:tc>
        <w:tc>
          <w:tcPr>
            <w:tcW w:type="dxa" w:w="3190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3190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2126"/>
          </w:tcPr>
          <w:p>
            <w:pPr>
              <w:keepNext/>
              <w:spacing w:after="0"/>
            </w:pPr>
          </w:p>
        </w:tc>
        <w:tc>
          <w:tcPr>
            <w:tcW w:type="dxa" w:w="3190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3190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2126"/>
          </w:tcPr>
          <w:p>
            <w:pPr>
              <w:keepNext/>
              <w:spacing w:after="0"/>
            </w:pPr>
          </w:p>
        </w:tc>
        <w:tc>
          <w:tcPr>
            <w:tcW w:type="dxa" w:w="3190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3190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3. Reconciliation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152"/>
        <w:gridCol w:w="1152"/>
        <w:gridCol w:w="1152"/>
        <w:gridCol w:w="1152"/>
        <w:gridCol w:w="1152"/>
        <w:gridCol w:w="1152"/>
        <w:gridCol w:w="4608"/>
        <w:gridCol w:w="1152"/>
        <w:gridCol w:w="1152"/>
      </w:tblGrid>
      <w:tr>
        <w:trPr>
          <w:tblHeader w:val="true"/>
        </w:trPr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Physical count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Ledger balance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IRT count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F-304-04 logs checked (Y/N)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Counts match (Y/N)</w:t>
            </w:r>
          </w:p>
        </w:tc>
        <w:tc>
          <w:tcPr>
            <w:tcW w:type="dxa" w:w="4608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Discrepancy and explanation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By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CS 2nd person</w:t>
            </w: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870"/>
        <w:gridCol w:w="3594"/>
        <w:gridCol w:w="4147"/>
        <w:gridCol w:w="2211"/>
      </w:tblGrid>
      <w:tr>
        <w:trPr>
          <w:tblHeader w:val="true"/>
        </w:trPr>
        <w:tc>
          <w:tcPr>
            <w:tcW w:type="dxa" w:w="387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35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4147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221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3870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IP Manager (final reconciliation)</w:t>
            </w:r>
          </w:p>
        </w:tc>
        <w:tc>
          <w:tcPr>
            <w:tcW w:type="dxa" w:w="3594"/>
          </w:tcPr>
          <w:p>
            <w:pPr>
              <w:keepNext/>
              <w:spacing w:after="0"/>
            </w:pPr>
          </w:p>
        </w:tc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2211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3870"/>
          </w:tcPr>
          <w:p>
            <w:pPr>
              <w:spacing w:after="0"/>
            </w:pPr>
            <w:r>
              <w:rPr>
                <w:b w:val="0"/>
                <w:sz w:val="17"/>
              </w:rPr>
              <w:t>Second person (controlled substances)</w:t>
            </w:r>
          </w:p>
        </w:tc>
        <w:tc>
          <w:tcPr>
            <w:tcW w:type="dxa" w:w="3594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2211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F-304-01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F-304-01 Investigational Product Accountability Log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SOP-304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F-304-01 Investigational Product Accountability Log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