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Delegation of Authority Log</w:t>
      </w:r>
    </w:p>
    <w:p>
      <w:r>
        <w:rPr>
          <w:b/>
          <w:sz w:val="18"/>
        </w:rPr>
        <w:t xml:space="preserve">Purpose: </w:t>
      </w:r>
      <w:r>
        <w:rPr>
          <w:b w:val="0"/>
          <w:sz w:val="18"/>
        </w:rPr>
        <w:t>Records which study tasks the PI has delegated to each qualified, trained staff member and the dates of that delegation.</w:t>
      </w:r>
    </w:p>
    <w:p>
      <w:pPr>
        <w:spacing w:after="0"/>
      </w:pPr>
      <w:r>
        <w:rPr>
          <w:b/>
          <w:sz w:val="18"/>
        </w:rPr>
        <w:t>Instructions</w:t>
      </w:r>
    </w:p>
    <w:p>
      <w:pPr>
        <w:pStyle w:val="ListBullet"/>
        <w:spacing w:after="0"/>
      </w:pPr>
      <w:r>
        <w:rPr>
          <w:b w:val="0"/>
          <w:sz w:val="18"/>
        </w:rPr>
        <w:t>The Regulatory Coordinator enters each person. The PI signs and dates the start before the person performs any delegated task. The start date is never earlier than the PI's signature date.</w:t>
      </w:r>
    </w:p>
    <w:p>
      <w:pPr>
        <w:pStyle w:val="ListBullet"/>
        <w:spacing w:after="0"/>
      </w:pPr>
      <w:r>
        <w:rPr>
          <w:b w:val="0"/>
          <w:sz w:val="18"/>
        </w:rPr>
        <w:t>Enter only task codes the person is qualified, licensed and trained to perform. Codes marked (I) go only to investigators, or to another licensed professional where the protocol and state scope of practice allow. Where the study is blinded, mark B (blinded) or U (unblinded) in the Blind (B/U) column.</w:t>
      </w:r>
    </w:p>
    <w:p>
      <w:pPr>
        <w:pStyle w:val="ListBullet"/>
        <w:spacing w:after="0"/>
      </w:pPr>
      <w:r>
        <w:rPr>
          <w:b w:val="0"/>
          <w:sz w:val="18"/>
        </w:rPr>
        <w:t>When a person's tasks change, end the old entry and start a new line signed by the PI. Never overwrite an entry.</w:t>
      </w:r>
    </w:p>
    <w:p>
      <w:pPr>
        <w:pStyle w:val="ListBullet"/>
        <w:spacing w:after="0"/>
      </w:pPr>
      <w:r>
        <w:rPr>
          <w:b w:val="0"/>
          <w:sz w:val="18"/>
        </w:rPr>
        <w:t>When delegation ends, the Regulatory Coordinator enters the end date (the last date the person performed or was authorized to perform tasks), and the PI initials and dates it.</w:t>
      </w:r>
    </w:p>
    <w:p>
      <w:pPr>
        <w:pStyle w:val="ListBullet"/>
        <w:spacing w:after="0"/>
      </w:pPr>
      <w:r>
        <w:rPr>
          <w:b w:val="0"/>
          <w:sz w:val="18"/>
        </w:rPr>
        <w:t>Use the sponsor's log instead if the sponsor requires it, and keep the task codes consistent with the protocol.</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Sponsor</w:t>
            </w:r>
          </w:p>
        </w:tc>
        <w:tc>
          <w:tcPr>
            <w:tcW w:type="dxa" w:w="2447"/>
          </w:tcPr>
          <w:p/>
        </w:tc>
        <w:tc>
          <w:tcPr>
            <w:tcW w:type="dxa" w:w="2160"/>
            <w:shd w:val="clear" w:color="auto" w:fill="D9E2F3"/>
          </w:tcPr>
          <w:p>
            <w:pPr>
              <w:spacing w:after="0"/>
            </w:pPr>
            <w:r>
              <w:rPr>
                <w:b/>
                <w:sz w:val="17"/>
              </w:rPr>
              <w:t>Site number</w:t>
            </w:r>
          </w:p>
        </w:tc>
        <w:tc>
          <w:tcPr>
            <w:tcW w:type="dxa" w:w="2447"/>
          </w:tcPr>
          <w:p/>
        </w:tc>
      </w:tr>
      <w:tr>
        <w:trPr>
          <w:trHeight w:val="432"/>
        </w:trPr>
        <w:tc>
          <w:tcPr>
            <w:tcW w:type="dxa" w:w="2160"/>
            <w:shd w:val="clear" w:color="auto" w:fill="D9E2F3"/>
          </w:tcPr>
          <w:p>
            <w:pPr>
              <w:spacing w:after="0"/>
            </w:pPr>
            <w:r>
              <w:rPr>
                <w:b/>
                <w:sz w:val="17"/>
              </w:rPr>
              <w:t>PI name</w:t>
            </w:r>
          </w:p>
        </w:tc>
        <w:tc>
          <w:tcPr>
            <w:tcW w:type="dxa" w:w="2447"/>
          </w:tcPr>
          <w:p/>
        </w:tc>
        <w:tc>
          <w:tcPr>
            <w:tcW w:type="dxa" w:w="2160"/>
          </w:tcPr>
          <w:p/>
        </w:tc>
        <w:tc>
          <w:tcPr>
            <w:tcW w:type="dxa" w:w="2447"/>
          </w:tcPr>
          <w:p/>
        </w:tc>
        <w:tc>
          <w:tcPr>
            <w:tcW w:type="dxa" w:w="2160"/>
          </w:tcP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2304"/>
        <w:gridCol w:w="1536"/>
        <w:gridCol w:w="1536"/>
        <w:gridCol w:w="768"/>
        <w:gridCol w:w="2304"/>
        <w:gridCol w:w="768"/>
        <w:gridCol w:w="768"/>
        <w:gridCol w:w="1536"/>
        <w:gridCol w:w="768"/>
        <w:gridCol w:w="1536"/>
      </w:tblGrid>
      <w:tr>
        <w:trPr>
          <w:tblHeader w:val="true"/>
        </w:trPr>
        <w:tc>
          <w:tcPr>
            <w:tcW w:type="dxa" w:w="2304"/>
            <w:shd w:val="clear" w:color="auto" w:fill="D9E2F3"/>
          </w:tcPr>
          <w:p>
            <w:pPr>
              <w:spacing w:after="0"/>
            </w:pPr>
            <w:r>
              <w:rPr>
                <w:b/>
                <w:sz w:val="17"/>
              </w:rPr>
              <w:t>Staff name (print)</w:t>
            </w:r>
          </w:p>
        </w:tc>
        <w:tc>
          <w:tcPr>
            <w:tcW w:type="dxa" w:w="1536"/>
            <w:shd w:val="clear" w:color="auto" w:fill="D9E2F3"/>
          </w:tcPr>
          <w:p>
            <w:pPr>
              <w:spacing w:after="0"/>
            </w:pPr>
            <w:r>
              <w:rPr>
                <w:b/>
                <w:sz w:val="17"/>
              </w:rPr>
              <w:t>Role</w:t>
            </w:r>
          </w:p>
        </w:tc>
        <w:tc>
          <w:tcPr>
            <w:tcW w:type="dxa" w:w="1536"/>
            <w:shd w:val="clear" w:color="auto" w:fill="D9E2F3"/>
          </w:tcPr>
          <w:p>
            <w:pPr>
              <w:spacing w:after="0"/>
            </w:pPr>
            <w:r>
              <w:rPr>
                <w:b/>
                <w:sz w:val="17"/>
              </w:rPr>
              <w:t>Task codes</w:t>
            </w:r>
          </w:p>
        </w:tc>
        <w:tc>
          <w:tcPr>
            <w:tcW w:type="dxa" w:w="768"/>
            <w:shd w:val="clear" w:color="auto" w:fill="D9E2F3"/>
          </w:tcPr>
          <w:p>
            <w:pPr>
              <w:spacing w:after="0"/>
            </w:pPr>
            <w:r>
              <w:rPr>
                <w:b/>
                <w:sz w:val="17"/>
              </w:rPr>
              <w:t>Blind (B/U)</w:t>
            </w:r>
          </w:p>
        </w:tc>
        <w:tc>
          <w:tcPr>
            <w:tcW w:type="dxa" w:w="2304"/>
            <w:shd w:val="clear" w:color="auto" w:fill="D9E2F3"/>
          </w:tcPr>
          <w:p>
            <w:pPr>
              <w:spacing w:after="0"/>
            </w:pPr>
            <w:r>
              <w:rPr>
                <w:b/>
                <w:sz w:val="17"/>
              </w:rPr>
              <w:t>Staff signature</w:t>
            </w:r>
          </w:p>
        </w:tc>
        <w:tc>
          <w:tcPr>
            <w:tcW w:type="dxa" w:w="768"/>
            <w:shd w:val="clear" w:color="auto" w:fill="D9E2F3"/>
          </w:tcPr>
          <w:p>
            <w:pPr>
              <w:spacing w:after="0"/>
            </w:pPr>
            <w:r>
              <w:rPr>
                <w:b/>
                <w:sz w:val="17"/>
              </w:rPr>
              <w:t>Staff initials</w:t>
            </w:r>
          </w:p>
        </w:tc>
        <w:tc>
          <w:tcPr>
            <w:tcW w:type="dxa" w:w="768"/>
            <w:shd w:val="clear" w:color="auto" w:fill="D9E2F3"/>
          </w:tcPr>
          <w:p>
            <w:pPr>
              <w:spacing w:after="0"/>
            </w:pPr>
            <w:r>
              <w:rPr>
                <w:b/>
                <w:sz w:val="17"/>
              </w:rPr>
              <w:t>Start date</w:t>
            </w:r>
          </w:p>
        </w:tc>
        <w:tc>
          <w:tcPr>
            <w:tcW w:type="dxa" w:w="1536"/>
            <w:shd w:val="clear" w:color="auto" w:fill="D9E2F3"/>
          </w:tcPr>
          <w:p>
            <w:pPr>
              <w:spacing w:after="0"/>
            </w:pPr>
            <w:r>
              <w:rPr>
                <w:b/>
                <w:sz w:val="17"/>
              </w:rPr>
              <w:t>PI initials and date (start)</w:t>
            </w:r>
          </w:p>
        </w:tc>
        <w:tc>
          <w:tcPr>
            <w:tcW w:type="dxa" w:w="768"/>
            <w:shd w:val="clear" w:color="auto" w:fill="D9E2F3"/>
          </w:tcPr>
          <w:p>
            <w:pPr>
              <w:spacing w:after="0"/>
            </w:pPr>
            <w:r>
              <w:rPr>
                <w:b/>
                <w:sz w:val="17"/>
              </w:rPr>
              <w:t>End date</w:t>
            </w:r>
          </w:p>
        </w:tc>
        <w:tc>
          <w:tcPr>
            <w:tcW w:type="dxa" w:w="1536"/>
            <w:shd w:val="clear" w:color="auto" w:fill="D9E2F3"/>
          </w:tcPr>
          <w:p>
            <w:pPr>
              <w:spacing w:after="0"/>
            </w:pPr>
            <w:r>
              <w:rPr>
                <w:b/>
                <w:sz w:val="17"/>
              </w:rPr>
              <w:t>PI initials and date (end)</w:t>
            </w: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r>
        <w:trPr>
          <w:cantSplit w:val="true"/>
          <w:trHeight w:val="461"/>
        </w:trPr>
        <w:tc>
          <w:tcPr>
            <w:tcW w:type="dxa" w:w="2304"/>
          </w:tcPr>
          <w:p>
            <w:pPr>
              <w:spacing w:after="0"/>
            </w:pPr>
          </w:p>
        </w:tc>
        <w:tc>
          <w:tcPr>
            <w:tcW w:type="dxa" w:w="1536"/>
          </w:tcPr>
          <w:p>
            <w:pPr>
              <w:spacing w:after="0"/>
            </w:pPr>
          </w:p>
        </w:tc>
        <w:tc>
          <w:tcPr>
            <w:tcW w:type="dxa" w:w="1536"/>
          </w:tcPr>
          <w:p>
            <w:pPr>
              <w:spacing w:after="0"/>
            </w:pPr>
          </w:p>
        </w:tc>
        <w:tc>
          <w:tcPr>
            <w:tcW w:type="dxa" w:w="768"/>
          </w:tcPr>
          <w:p>
            <w:pPr>
              <w:spacing w:after="0"/>
            </w:pPr>
          </w:p>
        </w:tc>
        <w:tc>
          <w:tcPr>
            <w:tcW w:type="dxa" w:w="2304"/>
          </w:tcPr>
          <w:p>
            <w:pPr>
              <w:spacing w:after="0"/>
            </w:pPr>
          </w:p>
        </w:tc>
        <w:tc>
          <w:tcPr>
            <w:tcW w:type="dxa" w:w="768"/>
          </w:tcPr>
          <w:p>
            <w:pPr>
              <w:spacing w:after="0"/>
            </w:pPr>
          </w:p>
        </w:tc>
        <w:tc>
          <w:tcPr>
            <w:tcW w:type="dxa" w:w="768"/>
          </w:tcPr>
          <w:p>
            <w:pPr>
              <w:spacing w:after="0"/>
            </w:pPr>
          </w:p>
        </w:tc>
        <w:tc>
          <w:tcPr>
            <w:tcW w:type="dxa" w:w="1536"/>
          </w:tcPr>
          <w:p>
            <w:pPr>
              <w:spacing w:after="0"/>
            </w:pPr>
          </w:p>
        </w:tc>
        <w:tc>
          <w:tcPr>
            <w:tcW w:type="dxa" w:w="768"/>
          </w:tcPr>
          <w:p>
            <w:pPr>
              <w:spacing w:after="0"/>
            </w:pPr>
          </w:p>
        </w:tc>
        <w:tc>
          <w:tcPr>
            <w:tcW w:type="dxa" w:w="1536"/>
          </w:tcPr>
          <w:p>
            <w:pPr>
              <w:spacing w:after="0"/>
            </w:pPr>
          </w:p>
        </w:tc>
      </w:tr>
    </w:tbl>
    <w:p>
      <w:pPr>
        <w:spacing w:after="40"/>
      </w:pPr>
    </w:p>
    <w:p>
      <w:pPr>
        <w:pStyle w:val="Heading2"/>
      </w:pPr>
      <w:r>
        <w:t>Task code legend</w:t>
      </w:r>
    </w:p>
    <w:p>
      <w:pPr>
        <w:spacing w:after="40"/>
      </w:pPr>
      <w:r>
        <w:rPr>
          <w:b w:val="0"/>
          <w:sz w:val="18"/>
        </w:rPr>
        <w:t>Task codes. 1 Obtain informed consent. 2 Pre-screening and screening. 3 Prepare eligibility checklist or second review. 4 Final confirmation of eligibility (I). 5 Medical history. 6 Physical examination and clinical assessments needing clinical judgment (I). 7 AE and SAE assessment of seriousness and causality (I). 8 SAE reporting. 9 Concomitant medication recording. 10 Prescribe or order IP and concomitant medications (I). 11 Review and sign-off of clinically significant laboratory and test results (I). 12 Vital signs, ECG and other measurements. 13 Specimen collection. 14 Specimen processing and shipping. 15 IP receipt, storage and accountability. 16 IP preparation, dispensing or administration. 17 Randomization and IRT. 18 Emergency unblinding decision (I). 19 Source documentation. 20 EDC data entry. 21 Query resolution. 22 ISF and regulatory records. 23 IRB submissions. 24 Participant scheduling and contact. 25 Participant payments. 26 Remote or home visits. 27 Other (specify on the line).</w:t>
      </w:r>
    </w:p>
    <w:p>
      <w:pPr>
        <w:spacing w:after="40"/>
      </w:pPr>
      <w:r>
        <w:rPr>
          <w:b w:val="0"/>
          <w:sz w:val="18"/>
        </w:rPr>
        <w:t>PI statement: I confirm that each person listed is qualified by education, training and experience to perform the delegated tasks, has been trained on the protocol and relevant SOPs, and remains under my supervision.</w:t>
      </w: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spacing w:after="0"/>
            </w:pPr>
            <w:r>
              <w:rPr>
                <w:b w:val="0"/>
                <w:sz w:val="17"/>
              </w:rPr>
              <w:t>Principal Investigator</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F-302-01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F-302-01 Delegation of Authority Log</w:t>
          </w:r>
        </w:p>
      </w:tc>
      <w:tc>
        <w:tcPr>
          <w:tcW w:type="dxa" w:w="4147"/>
        </w:tcPr>
        <w:p>
          <w:pPr>
            <w:jc w:val="right"/>
          </w:pPr>
          <w:r>
            <w:rPr>
              <w:b w:val="0"/>
              <w:color w:val="404040"/>
              <w:sz w:val="17"/>
            </w:rPr>
            <w:t>Ref: SOP-302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F-302-01 Delegation of Authority Log</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