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Recruitment Material Tracking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Tracks every recruitment material used for a study, its IRB approval and the dates it was in use.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Regulatory Coordinator logs each material when it is approved by the IRB.</w:t>
      </w:r>
    </w:p>
    <w:p>
      <w:pPr>
        <w:pStyle w:val="ListBullet"/>
        <w:spacing w:after="0"/>
      </w:pPr>
      <w:r>
        <w:rPr>
          <w:b w:val="0"/>
          <w:sz w:val="18"/>
        </w:rPr>
        <w:t>Only materials on this log with a current approval may be used.</w:t>
      </w:r>
    </w:p>
    <w:p>
      <w:pPr>
        <w:pStyle w:val="ListBullet"/>
        <w:spacing w:after="0"/>
      </w:pPr>
      <w:r>
        <w:rPr>
          <w:b w:val="0"/>
          <w:sz w:val="18"/>
        </w:rPr>
        <w:t>Record the retirement date when a material is replaced or the study closes to enrollment, and confirm it was taken down.</w:t>
      </w:r>
    </w:p>
    <w:p>
      <w:pPr>
        <w:pStyle w:val="ListBullet"/>
        <w:spacing w:after="0"/>
      </w:pPr>
      <w:r>
        <w:rPr>
          <w:b w:val="0"/>
          <w:sz w:val="18"/>
        </w:rPr>
        <w:t>File approved versions in the ISF.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of record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90"/>
        <w:gridCol w:w="2126"/>
        <w:gridCol w:w="1063"/>
        <w:gridCol w:w="1063"/>
        <w:gridCol w:w="1063"/>
        <w:gridCol w:w="2126"/>
        <w:gridCol w:w="1063"/>
        <w:gridCol w:w="1063"/>
        <w:gridCol w:w="1063"/>
      </w:tblGrid>
      <w:tr>
        <w:trPr>
          <w:tblHeader w:val="true"/>
        </w:trPr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Material title or description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Type (ad, flyer, web, social, script, letter, video)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 and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approval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approval date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Where used (channel or location)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First used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Retired and taken down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F-300-02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F-300-02 Recruitment Material Tracking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F-300-02 Recruitment Material Tracking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