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Pre-Screening Log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Records each candidate pre-screened for a study under a pre-screening ID, the referral source and the outcome, without identifying information.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Use a site-assigned pre-screening ID. Do not use names, initials, dates of birth or medical record numbers on this log.</w:t>
      </w:r>
    </w:p>
    <w:p>
      <w:pPr>
        <w:pStyle w:val="ListBullet"/>
        <w:spacing w:after="0"/>
      </w:pPr>
      <w:r>
        <w:rPr>
          <w:b w:val="0"/>
          <w:sz w:val="18"/>
        </w:rPr>
        <w:t>Keep identifying information in the separate access-controlled key linked by pre-screening ID (SOP-300).</w:t>
      </w:r>
    </w:p>
    <w:p>
      <w:pPr>
        <w:pStyle w:val="ListBullet"/>
        <w:spacing w:after="0"/>
      </w:pPr>
      <w:r>
        <w:rPr>
          <w:b w:val="0"/>
          <w:sz w:val="18"/>
        </w:rPr>
        <w:t>Record reasons as a criterion number or category (for example "declined"), with no clinical detail.</w:t>
      </w:r>
    </w:p>
    <w:p>
      <w:pPr>
        <w:pStyle w:val="ListBullet"/>
        <w:spacing w:after="0"/>
      </w:pPr>
      <w:r>
        <w:rPr>
          <w:b w:val="0"/>
          <w:sz w:val="18"/>
        </w:rPr>
        <w:t>Only staff delegated pre-screening on F-302-01 may make entries.</w:t>
      </w:r>
    </w:p>
    <w:p>
      <w:pPr>
        <w:pStyle w:val="ListBullet"/>
        <w:spacing w:after="0"/>
      </w:pPr>
      <w:r>
        <w:rPr>
          <w:b w:val="0"/>
          <w:sz w:val="18"/>
        </w:rPr>
        <w:t>Do not exclude a candidate for language, literacy or disability unless the protocol requires it. If the site cannot support a candidate's language, record the PI's decision (made with the sponsor and IRB) as the outcome.</w:t>
      </w:r>
    </w:p>
    <w:p>
      <w:pPr>
        <w:pStyle w:val="ListBullet"/>
        <w:spacing w:after="0"/>
      </w:pPr>
      <w:r>
        <w:rPr>
          <w:b w:val="0"/>
          <w:sz w:val="18"/>
        </w:rPr>
        <w:t xml:space="preserve">The CRC or Recruitment Specialist summarizes the log at least </w:t>
      </w:r>
      <w:r>
        <w:rPr>
          <w:b w:val="0"/>
          <w:sz w:val="18"/>
          <w:highlight w:val="green"/>
        </w:rPr>
        <w:t>[DEFAULT: monthly]</w:t>
      </w:r>
      <w:r>
        <w:rPr>
          <w:b w:val="0"/>
          <w:sz w:val="18"/>
        </w:rPr>
        <w:t xml:space="preserve"> for each enrolling study.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Protocol number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Sponsor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PI name</w:t>
            </w:r>
          </w:p>
        </w:tc>
        <w:tc>
          <w:tcPr>
            <w:tcW w:type="dxa" w:w="244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63"/>
        <w:gridCol w:w="1063"/>
        <w:gridCol w:w="3190"/>
        <w:gridCol w:w="3190"/>
        <w:gridCol w:w="2126"/>
        <w:gridCol w:w="1063"/>
        <w:gridCol w:w="1063"/>
        <w:gridCol w:w="1063"/>
      </w:tblGrid>
      <w:tr>
        <w:trPr>
          <w:tblHeader w:val="true"/>
        </w:trPr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Pre-screen ID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</w:t>
            </w:r>
          </w:p>
        </w:tc>
        <w:tc>
          <w:tcPr>
            <w:tcW w:type="dxa" w:w="319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Referral source (site patient, database, ad name and version, vendor)</w:t>
            </w:r>
          </w:p>
        </w:tc>
        <w:tc>
          <w:tcPr>
            <w:tcW w:type="dxa" w:w="319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Outcome (referred for consent, not eligible, not interested, unable to contact, language accommodation: PI decision, other)</w:t>
            </w:r>
          </w:p>
        </w:tc>
        <w:tc>
          <w:tcPr>
            <w:tcW w:type="dxa" w:w="212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Reason category or criterion number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Screening number if screened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Enrolled (Y/N)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Staff initials</w:t>
            </w: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Monthly summary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256"/>
        <w:gridCol w:w="3770"/>
        <w:gridCol w:w="1256"/>
        <w:gridCol w:w="1256"/>
        <w:gridCol w:w="1256"/>
        <w:gridCol w:w="3770"/>
        <w:gridCol w:w="1256"/>
      </w:tblGrid>
      <w:tr>
        <w:trPr>
          <w:tblHeader w:val="true"/>
        </w:trPr>
        <w:tc>
          <w:tcPr>
            <w:tcW w:type="dxa" w:w="125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Month</w:t>
            </w:r>
          </w:p>
        </w:tc>
        <w:tc>
          <w:tcPr>
            <w:tcW w:type="dxa" w:w="377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Candidates by source</w:t>
            </w:r>
          </w:p>
        </w:tc>
        <w:tc>
          <w:tcPr>
            <w:tcW w:type="dxa" w:w="125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Referred for consent</w:t>
            </w:r>
          </w:p>
        </w:tc>
        <w:tc>
          <w:tcPr>
            <w:tcW w:type="dxa" w:w="125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Screened</w:t>
            </w:r>
          </w:p>
        </w:tc>
        <w:tc>
          <w:tcPr>
            <w:tcW w:type="dxa" w:w="125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Enrolled</w:t>
            </w:r>
          </w:p>
        </w:tc>
        <w:tc>
          <w:tcPr>
            <w:tcW w:type="dxa" w:w="377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Main reasons for not proceeding</w:t>
            </w:r>
          </w:p>
        </w:tc>
        <w:tc>
          <w:tcPr>
            <w:tcW w:type="dxa" w:w="125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Prepared by</w:t>
            </w: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keepNext/>
              <w:spacing w:after="0"/>
            </w:pPr>
          </w:p>
        </w:tc>
        <w:tc>
          <w:tcPr>
            <w:tcW w:type="dxa" w:w="3770"/>
          </w:tcPr>
          <w:p>
            <w:pPr>
              <w:keepNext/>
              <w:spacing w:after="0"/>
            </w:pPr>
          </w:p>
        </w:tc>
        <w:tc>
          <w:tcPr>
            <w:tcW w:type="dxa" w:w="1256"/>
          </w:tcPr>
          <w:p>
            <w:pPr>
              <w:keepNext/>
              <w:spacing w:after="0"/>
            </w:pPr>
          </w:p>
        </w:tc>
        <w:tc>
          <w:tcPr>
            <w:tcW w:type="dxa" w:w="1256"/>
          </w:tcPr>
          <w:p>
            <w:pPr>
              <w:keepNext/>
              <w:spacing w:after="0"/>
            </w:pPr>
          </w:p>
        </w:tc>
        <w:tc>
          <w:tcPr>
            <w:tcW w:type="dxa" w:w="1256"/>
          </w:tcPr>
          <w:p>
            <w:pPr>
              <w:keepNext/>
              <w:spacing w:after="0"/>
            </w:pPr>
          </w:p>
        </w:tc>
        <w:tc>
          <w:tcPr>
            <w:tcW w:type="dxa" w:w="3770"/>
          </w:tcPr>
          <w:p>
            <w:pPr>
              <w:keepNext/>
              <w:spacing w:after="0"/>
            </w:pPr>
          </w:p>
        </w:tc>
        <w:tc>
          <w:tcPr>
            <w:tcW w:type="dxa" w:w="125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keepNext/>
              <w:spacing w:after="0"/>
            </w:pPr>
          </w:p>
        </w:tc>
        <w:tc>
          <w:tcPr>
            <w:tcW w:type="dxa" w:w="3770"/>
          </w:tcPr>
          <w:p>
            <w:pPr>
              <w:keepNext/>
              <w:spacing w:after="0"/>
            </w:pPr>
          </w:p>
        </w:tc>
        <w:tc>
          <w:tcPr>
            <w:tcW w:type="dxa" w:w="1256"/>
          </w:tcPr>
          <w:p>
            <w:pPr>
              <w:keepNext/>
              <w:spacing w:after="0"/>
            </w:pPr>
          </w:p>
        </w:tc>
        <w:tc>
          <w:tcPr>
            <w:tcW w:type="dxa" w:w="1256"/>
          </w:tcPr>
          <w:p>
            <w:pPr>
              <w:keepNext/>
              <w:spacing w:after="0"/>
            </w:pPr>
          </w:p>
        </w:tc>
        <w:tc>
          <w:tcPr>
            <w:tcW w:type="dxa" w:w="1256"/>
          </w:tcPr>
          <w:p>
            <w:pPr>
              <w:keepNext/>
              <w:spacing w:after="0"/>
            </w:pPr>
          </w:p>
        </w:tc>
        <w:tc>
          <w:tcPr>
            <w:tcW w:type="dxa" w:w="3770"/>
          </w:tcPr>
          <w:p>
            <w:pPr>
              <w:keepNext/>
              <w:spacing w:after="0"/>
            </w:pPr>
          </w:p>
        </w:tc>
        <w:tc>
          <w:tcPr>
            <w:tcW w:type="dxa" w:w="125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keepNext/>
              <w:spacing w:after="0"/>
            </w:pPr>
          </w:p>
        </w:tc>
        <w:tc>
          <w:tcPr>
            <w:tcW w:type="dxa" w:w="3770"/>
          </w:tcPr>
          <w:p>
            <w:pPr>
              <w:keepNext/>
              <w:spacing w:after="0"/>
            </w:pPr>
          </w:p>
        </w:tc>
        <w:tc>
          <w:tcPr>
            <w:tcW w:type="dxa" w:w="1256"/>
          </w:tcPr>
          <w:p>
            <w:pPr>
              <w:keepNext/>
              <w:spacing w:after="0"/>
            </w:pPr>
          </w:p>
        </w:tc>
        <w:tc>
          <w:tcPr>
            <w:tcW w:type="dxa" w:w="1256"/>
          </w:tcPr>
          <w:p>
            <w:pPr>
              <w:keepNext/>
              <w:spacing w:after="0"/>
            </w:pPr>
          </w:p>
        </w:tc>
        <w:tc>
          <w:tcPr>
            <w:tcW w:type="dxa" w:w="1256"/>
          </w:tcPr>
          <w:p>
            <w:pPr>
              <w:keepNext/>
              <w:spacing w:after="0"/>
            </w:pPr>
          </w:p>
        </w:tc>
        <w:tc>
          <w:tcPr>
            <w:tcW w:type="dxa" w:w="3770"/>
          </w:tcPr>
          <w:p>
            <w:pPr>
              <w:keepNext/>
              <w:spacing w:after="0"/>
            </w:pPr>
          </w:p>
        </w:tc>
        <w:tc>
          <w:tcPr>
            <w:tcW w:type="dxa" w:w="125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keepNext/>
              <w:spacing w:after="0"/>
            </w:pPr>
          </w:p>
        </w:tc>
        <w:tc>
          <w:tcPr>
            <w:tcW w:type="dxa" w:w="3770"/>
          </w:tcPr>
          <w:p>
            <w:pPr>
              <w:keepNext/>
              <w:spacing w:after="0"/>
            </w:pPr>
          </w:p>
        </w:tc>
        <w:tc>
          <w:tcPr>
            <w:tcW w:type="dxa" w:w="1256"/>
          </w:tcPr>
          <w:p>
            <w:pPr>
              <w:keepNext/>
              <w:spacing w:after="0"/>
            </w:pPr>
          </w:p>
        </w:tc>
        <w:tc>
          <w:tcPr>
            <w:tcW w:type="dxa" w:w="1256"/>
          </w:tcPr>
          <w:p>
            <w:pPr>
              <w:keepNext/>
              <w:spacing w:after="0"/>
            </w:pPr>
          </w:p>
        </w:tc>
        <w:tc>
          <w:tcPr>
            <w:tcW w:type="dxa" w:w="1256"/>
          </w:tcPr>
          <w:p>
            <w:pPr>
              <w:keepNext/>
              <w:spacing w:after="0"/>
            </w:pPr>
          </w:p>
        </w:tc>
        <w:tc>
          <w:tcPr>
            <w:tcW w:type="dxa" w:w="3770"/>
          </w:tcPr>
          <w:p>
            <w:pPr>
              <w:keepNext/>
              <w:spacing w:after="0"/>
            </w:pPr>
          </w:p>
        </w:tc>
        <w:tc>
          <w:tcPr>
            <w:tcW w:type="dxa" w:w="125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keepNext/>
              <w:spacing w:after="0"/>
            </w:pPr>
          </w:p>
        </w:tc>
        <w:tc>
          <w:tcPr>
            <w:tcW w:type="dxa" w:w="3770"/>
          </w:tcPr>
          <w:p>
            <w:pPr>
              <w:keepNext/>
              <w:spacing w:after="0"/>
            </w:pPr>
          </w:p>
        </w:tc>
        <w:tc>
          <w:tcPr>
            <w:tcW w:type="dxa" w:w="1256"/>
          </w:tcPr>
          <w:p>
            <w:pPr>
              <w:keepNext/>
              <w:spacing w:after="0"/>
            </w:pPr>
          </w:p>
        </w:tc>
        <w:tc>
          <w:tcPr>
            <w:tcW w:type="dxa" w:w="1256"/>
          </w:tcPr>
          <w:p>
            <w:pPr>
              <w:keepNext/>
              <w:spacing w:after="0"/>
            </w:pPr>
          </w:p>
        </w:tc>
        <w:tc>
          <w:tcPr>
            <w:tcW w:type="dxa" w:w="1256"/>
          </w:tcPr>
          <w:p>
            <w:pPr>
              <w:keepNext/>
              <w:spacing w:after="0"/>
            </w:pPr>
          </w:p>
        </w:tc>
        <w:tc>
          <w:tcPr>
            <w:tcW w:type="dxa" w:w="3770"/>
          </w:tcPr>
          <w:p>
            <w:pPr>
              <w:keepNext/>
              <w:spacing w:after="0"/>
            </w:pPr>
          </w:p>
        </w:tc>
        <w:tc>
          <w:tcPr>
            <w:tcW w:type="dxa" w:w="125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1296" w:right="1008" w:bottom="1008" w:left="1008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13824" w:val="right"/>
      </w:tabs>
    </w:pPr>
    <w:r>
      <w:rPr>
        <w:b w:val="0"/>
        <w:color w:val="595959"/>
        <w:sz w:val="16"/>
      </w:rPr>
      <w:t xml:space="preserve">F-300-01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1.3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3317"/>
      <w:gridCol w:w="6359"/>
      <w:gridCol w:w="4147"/>
    </w:tblGrid>
    <w:tr>
      <w:tc>
        <w:tcPr>
          <w:tcW w:type="dxa" w:w="3317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6359"/>
        </w:tcPr>
        <w:p>
          <w:pPr>
            <w:jc w:val="center"/>
          </w:pPr>
          <w:r>
            <w:rPr>
              <w:b/>
              <w:color w:val="404040"/>
              <w:sz w:val="17"/>
            </w:rPr>
            <w:t>F-300-01 Pre-Screening Log</w:t>
          </w:r>
        </w:p>
      </w:tc>
      <w:tc>
        <w:tcPr>
          <w:tcW w:type="dxa" w:w="4147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SOP-300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F-300-01 Pre-Screening Log</dc:title>
  <dc:subject>Form</dc:subject>
  <dc:creator>American Institute for Medical Research (AIMR)</dc:creator>
  <cp:keywords>SOP; GCP; ICH E6(R3); clinical research site</cp:keywords>
  <dc:description>Independent Site SOP Library: Reference Edition, template release 1.3.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Reference Edition</cp:category>
</cp:coreProperties>
</file>