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Study Activation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Confirms that regulatory, contract, training, product and operational requirements are complete before the first participant is consented.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Regulatory Coordinator maintains this checklist throughout start-up. Enter the date done for each item and write the record location in the Comment column, or mark N/A with the reason.</w:t>
      </w:r>
    </w:p>
    <w:p>
      <w:pPr>
        <w:pStyle w:val="ListBullet"/>
        <w:spacing w:after="0"/>
      </w:pPr>
      <w:r>
        <w:rPr>
          <w:b w:val="0"/>
          <w:sz w:val="18"/>
        </w:rPr>
        <w:t>The Lead CRC and Regulatory Coordinator review the completed checklist. The PI and Site Director sign to record that the site is ready.</w:t>
      </w:r>
    </w:p>
    <w:p>
      <w:pPr>
        <w:pStyle w:val="ListBullet"/>
        <w:spacing w:after="0"/>
      </w:pPr>
      <w:r>
        <w:rPr>
          <w:b w:val="0"/>
          <w:sz w:val="18"/>
        </w:rPr>
        <w:t>No participant may be consented, and no study procedure done, until this checklist is approved and the sponsor's written activation is on file. Sponsor activation alone does not authorize the start.</w:t>
      </w:r>
    </w:p>
    <w:p>
      <w:pPr>
        <w:pStyle w:val="ListBullet"/>
        <w:spacing w:after="0"/>
      </w:pPr>
      <w:r>
        <w:rPr>
          <w:b w:val="0"/>
          <w:sz w:val="18"/>
        </w:rPr>
        <w:t>After activation, use a new checklist limited to the changed items for a new PI, location or laboratory (SOP-205 5.8).</w:t>
      </w:r>
    </w:p>
    <w:p>
      <w:pPr>
        <w:pStyle w:val="ListBullet"/>
        <w:spacing w:after="0"/>
      </w:pPr>
      <w:r>
        <w:rPr>
          <w:b w:val="0"/>
          <w:sz w:val="18"/>
        </w:rPr>
        <w:t>File the signed checklist in the ISF.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of record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Scope (initial activation, or change: new PI, location, laboratory)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Start-up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Qualification visit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initiation visit date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Reliance agreement and local requirements (ancillary review, local context)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Regulatory packet sent to sponsor (date)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Regulatory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IRB approval of protocol, consent form(s), recruitment and participant materials, with approval letter filed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Local IRB review, reliance agreement or institutional acknowledgment, where required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Form FDA 1572 or device investigator agreement signed, filed and sent to sponsor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Signed protocol signature page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Financial disclosures complete for all investigators listed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CVs, licenses and GCP training on file for all investigators and delegated staff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Debarment and exclusion screening current for all study staff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Delegation of Authority Log signed by the PI for all staff (F-302-01)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SIV completed and protocol and system training recorded for all delegated staff (F-103-01)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Laboratory certification and normal ranges on file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Controlled-substance IP: DEA and </w:t>
            </w:r>
            <w:r>
              <w:rPr>
                <w:b w:val="0"/>
                <w:sz w:val="17"/>
                <w:highlight w:val="yellow"/>
              </w:rPr>
              <w:t>[STATE]</w:t>
            </w:r>
            <w:r>
              <w:rPr>
                <w:b w:val="0"/>
                <w:sz w:val="17"/>
              </w:rPr>
              <w:t xml:space="preserve"> controlled-substance registration covering the schedule and each storage address confirmed by the PI before the IP is received (SOP-304, 5.9.1)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IRB reportable-event categories and reporting windows for the study recorded for use with F-502-01 (SOP-502)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ISF set up and index current (F-204-01)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Contracts and finance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Clinical trial agreement and budget executed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Coverage analysis approved and billing grid set up, or no-billing short form (F-202-01)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Participant payment process set up and IRB-approved, if applicable (SOP-310)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Study set up in CTMS or tracking system and invoicing schedule entered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Operations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IP received, stored under monitored conditions and released for use; F-304-01 and F-304-02 started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Lab kits, specimen and shipping supplies received and within expiry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Study equipment available and calibrated; sponsor equipment logged (F-312-01)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EDC, IRT, eCOA, safety and laboratory portal access active for every delegated user, with own credentials (F-401-01)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Source document plan and Source Data Location List filed; source worksheets ready (SOP-306)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Emergency unblinding procedure available to the investigator (blinded studies) (SOP-305)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Blinded studies: blinded and unblinded roles named on F-302-01, each with a backup, and separation of unblinded records and IP areas in place (SOP-305)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Study QC plan approved on F-700-01 (SOP-700 5.2.1)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Study pages or trackers opened for AEs, SAEs and pregnancies (F-500-01, F-501-01, F-503-01)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Participant retention plan in place (SOP-309 5.1.1)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Record retention period for the study recorded from the CTA, sponsor instructions and regulations (SOP-402)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Recruitment plan and approved materials ready (SOP-300, F-300-02)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Staffing, space and facilities confirmed by the Site Director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Activation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written activation (green light) received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Quality Lead spot-check of F-205-01 before PI approval, for the studies named in SOP-205 section 3 (date)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Comments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Regulatory Coordinator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Lead CRC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Principal Investigator (approves activation)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 (co-approves activation)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F-205-01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F-205-01 Study Activation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SOP-205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F-205-01 Study Activation Checklist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