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Investigator Site File Index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Lists the essential records expected in the Investigator Site File for one study, shows where each is kept, and records the current version of each controlled document.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Regulatory Coordinator sets up the index before the site qualification visit or, at the latest, before the SIV, and records the ISF format in the header.</w:t>
      </w:r>
    </w:p>
    <w:p>
      <w:pPr>
        <w:pStyle w:val="ListBullet"/>
        <w:spacing w:after="0"/>
      </w:pPr>
      <w:r>
        <w:rPr>
          <w:b w:val="0"/>
          <w:sz w:val="18"/>
        </w:rPr>
        <w:t>Mark each record Filed (paper ISF), eISF (electronic ISF), or N/A. In a hybrid ISF, write in the Comment column which copy is the original. List records kept outside the ISF in the record location map.</w:t>
      </w:r>
    </w:p>
    <w:p>
      <w:pPr>
        <w:pStyle w:val="ListBullet"/>
        <w:spacing w:after="0"/>
      </w:pPr>
      <w:r>
        <w:rPr>
          <w:b w:val="0"/>
          <w:sz w:val="18"/>
        </w:rPr>
        <w:t>If the sponsor provides its own ISF index, use it and map it to this index so no site requirement is lost.</w:t>
      </w:r>
    </w:p>
    <w:p>
      <w:pPr>
        <w:pStyle w:val="ListBullet"/>
        <w:spacing w:after="0"/>
      </w:pPr>
      <w:r>
        <w:rPr>
          <w:b w:val="0"/>
          <w:sz w:val="18"/>
        </w:rPr>
        <w:t xml:space="preserve">File new records within </w:t>
      </w:r>
      <w:r>
        <w:rPr>
          <w:b w:val="0"/>
          <w:sz w:val="18"/>
          <w:highlight w:val="green"/>
        </w:rPr>
        <w:t>[DEFAULT: 10 business days of receipt or creation]</w:t>
      </w:r>
      <w:r>
        <w:rPr>
          <w:b w:val="0"/>
          <w:sz w:val="18"/>
        </w:rPr>
        <w:t xml:space="preserve">, and safety reports and IRB approvals within </w:t>
      </w:r>
      <w:r>
        <w:rPr>
          <w:b w:val="0"/>
          <w:sz w:val="18"/>
          <w:highlight w:val="green"/>
        </w:rPr>
        <w:t>[DEFAULT: 5 business days]</w:t>
      </w:r>
      <w:r>
        <w:rPr>
          <w:b w:val="0"/>
          <w:sz w:val="18"/>
        </w:rPr>
        <w:t>.</w:t>
      </w:r>
    </w:p>
    <w:p>
      <w:pPr>
        <w:pStyle w:val="ListBullet"/>
        <w:spacing w:after="0"/>
      </w:pPr>
      <w:r>
        <w:rPr>
          <w:b w:val="0"/>
          <w:sz w:val="18"/>
        </w:rPr>
        <w:t xml:space="preserve">Review the ISF against this index at least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>, before each monitoring visit and at close-out, and record each review below.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Protocol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Sponsor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PI name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ISF format (paper, site eISF, sponsor eISF, hybrid)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ISF location or system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Protocol and product information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Signed protocol and all amendments, with signature pages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Correspondence with sponsor, CRO and vendors that records decisions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Investigator's Brochure, package insert or device instructions for use (all versions) and receipt acknowledgments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Sample case report forms or EDC completion guidelines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Pharmacy, laboratory and other study manuals (all versions)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Investigator and staff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Form FDA 1572 (drug or biologic) or signed device investigator agreement, all versions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CVs, licenses and training records for investigators and delegated staff (or pointer to staff qualification files)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Financial disclosure forms for each investigator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Delegation of Authority Log (F-302-01) and signature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Protocol training and shipping training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Debarment and exclusion screening records (or pointer to staff qualification files)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IRB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IRB approvals for protocol, amendments, consent forms, recruitment materials and continuing review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IRB-approved consent forms, all versions (F-301-02 Consent Form Version Control Log)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IRB submissions, correspondence and reportable event reports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IRB registration, roster or compliance statement, and reliance agreement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Agreements and finance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Confidentiality agreement, clinical trial agreement, budget, amendments and insurance statement (or pointer to finance file)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Coverage analysis (F-202-01), billing grid versions, CMS IDE approval letters and claim review records (or pointer)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Service provider agreements for study services (F-105-01)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Feasibility record (F-200-01) and activation checklist (F-205-01)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Investigational product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shipping and receipt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accountability logs (F-304-01 site inventory; F-304-04 participant dispensing and return)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Temperature logs and excursion reports (F-304-02, F-304-03)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Randomization and unblinding records (F-305-01, kept in restricted file where they show assignment)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IP return or destruction records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Pharmacy manual, IRT instructions and emergency unblinding procedure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Participants and data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Pre-screening and screening and enrollment logs (F-300-01, F-303-01)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Location of signed consent forms and consent process notes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Participant identification log (kept on site only)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Laboratory certification (CLIA, CAP), normal ranges and laboratory director CV where required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Specimen shipment records (F-311-01)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Equipment calibration records (F-312-01) or pointer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Safety, monitoring and quality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SAE reports and follow-ups (F-501-01)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IND safety reports and sponsor safety letters with PI review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Protocol deviation log (F-308-01)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Monitoring visit log, reports or follow-up letters and action tracker (F-600-01, F-600-02)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Site qualification, initiation and close-out visit reports or letters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Notes to file (F-306-01) and CAPA records relevant to the study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Audit certificates and inspection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Close-out records (F-601-01)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Systems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Filed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eISF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User access records for study systems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System manuals and EDC, IRT, eCOA and portal training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Record location map (records kept outside the ISF)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144"/>
        <w:gridCol w:w="2144"/>
        <w:gridCol w:w="1072"/>
        <w:gridCol w:w="2144"/>
        <w:gridCol w:w="2144"/>
      </w:tblGrid>
      <w:tr>
        <w:trPr>
          <w:tblHeader w:val="true"/>
        </w:trPr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Record type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System or location</w:t>
            </w:r>
          </w:p>
        </w:tc>
        <w:tc>
          <w:tcPr>
            <w:tcW w:type="dxa" w:w="107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Controlled by (site or sponsor)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the site gets access</w:t>
            </w:r>
          </w:p>
        </w:tc>
        <w:tc>
          <w:tcPr>
            <w:tcW w:type="dxa" w:w="214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How a copy or access is kept at close-out</w:t>
            </w: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1072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  <w:tc>
          <w:tcPr>
            <w:tcW w:type="dxa" w:w="2144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Current versions (consent forms on F-301-02)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134"/>
        <w:gridCol w:w="2756"/>
        <w:gridCol w:w="2756"/>
      </w:tblGrid>
      <w:tr>
        <w:trPr>
          <w:tblHeader w:val="true"/>
        </w:trPr>
        <w:tc>
          <w:tcPr>
            <w:tcW w:type="dxa" w:w="413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Controlled document (protocol, IB, recruitment material, pharmacy manual, study plan, log template)</w:t>
            </w:r>
          </w:p>
        </w:tc>
        <w:tc>
          <w:tcPr>
            <w:tcW w:type="dxa" w:w="27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Current version and date</w:t>
            </w:r>
          </w:p>
        </w:tc>
        <w:tc>
          <w:tcPr>
            <w:tcW w:type="dxa" w:w="275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Previous version marked superseded (date)</w:t>
            </w: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4134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ISF reviews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206"/>
        <w:gridCol w:w="2412"/>
        <w:gridCol w:w="4824"/>
        <w:gridCol w:w="1206"/>
      </w:tblGrid>
      <w:tr>
        <w:trPr>
          <w:tblHeader w:val="true"/>
        </w:trPr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 date</w:t>
            </w:r>
          </w:p>
        </w:tc>
        <w:tc>
          <w:tcPr>
            <w:tcW w:type="dxa" w:w="241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Reason (quarterly, pre-monitoring, close-out)</w:t>
            </w:r>
          </w:p>
        </w:tc>
        <w:tc>
          <w:tcPr>
            <w:tcW w:type="dxa" w:w="4824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Gaps found</w:t>
            </w:r>
          </w:p>
        </w:tc>
        <w:tc>
          <w:tcPr>
            <w:tcW w:type="dxa" w:w="120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Reviewer initials</w:t>
            </w: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2412"/>
          </w:tcPr>
          <w:p>
            <w:pPr>
              <w:spacing w:after="0"/>
            </w:pPr>
          </w:p>
        </w:tc>
        <w:tc>
          <w:tcPr>
            <w:tcW w:type="dxa" w:w="4824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F-204-01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F-204-01 Investigator Site File Index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SOP-204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F-204-01 Investigator Site File Index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