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Coverage Analysis Worksheet</w:t>
      </w:r>
    </w:p>
    <w:p>
      <w:r>
        <w:rPr>
          <w:b/>
          <w:sz w:val="18"/>
        </w:rPr>
        <w:t xml:space="preserve">Purpose: </w:t>
      </w:r>
      <w:r>
        <w:rPr>
          <w:b w:val="0"/>
          <w:sz w:val="18"/>
        </w:rPr>
        <w:t>Records either the site's attestation that no study item is billed to insurers (Part A) or the full item-by-item coverage analysis (Part B).</w:t>
      </w:r>
    </w:p>
    <w:p>
      <w:pPr>
        <w:spacing w:after="0"/>
      </w:pPr>
      <w:r>
        <w:rPr>
          <w:b/>
          <w:sz w:val="18"/>
        </w:rPr>
        <w:t>Instructions</w:t>
      </w:r>
    </w:p>
    <w:p>
      <w:pPr>
        <w:pStyle w:val="ListBullet"/>
        <w:spacing w:after="0"/>
      </w:pPr>
      <w:r>
        <w:rPr>
          <w:b w:val="0"/>
          <w:sz w:val="18"/>
        </w:rPr>
        <w:t>At feasibility, decide whether any study item or service will be billed to Medicare, another insurer or the participant.</w:t>
      </w:r>
    </w:p>
    <w:p>
      <w:pPr>
        <w:pStyle w:val="ListBullet"/>
        <w:spacing w:after="0"/>
      </w:pPr>
      <w:r>
        <w:rPr>
          <w:b w:val="0"/>
          <w:sz w:val="18"/>
        </w:rPr>
        <w:t>If nothing will be billed (the site bills only the sponsor), complete Part A only, including the no-claim checks.</w:t>
      </w:r>
    </w:p>
    <w:p>
      <w:pPr>
        <w:pStyle w:val="ListBullet"/>
        <w:spacing w:after="0"/>
      </w:pPr>
      <w:r>
        <w:rPr>
          <w:b w:val="0"/>
          <w:sz w:val="18"/>
        </w:rPr>
        <w:t>If any item may be billed, complete Part B for the protocol version being activated and update it for every amendment that changes visits, procedures or the budget.</w:t>
      </w:r>
    </w:p>
    <w:p>
      <w:pPr>
        <w:pStyle w:val="ListBullet"/>
        <w:spacing w:after="0"/>
      </w:pPr>
      <w:r>
        <w:rPr>
          <w:b w:val="0"/>
          <w:sz w:val="18"/>
        </w:rPr>
        <w:t>In Part B, the PI confirms each insurance-billed item is medically necessary at that frequency absent the study. The Site Director approves.</w:t>
      </w:r>
    </w:p>
    <w:p>
      <w:pPr>
        <w:pStyle w:val="ListBullet"/>
        <w:spacing w:after="0"/>
      </w:pPr>
      <w:r>
        <w:rPr>
          <w:b w:val="0"/>
          <w:sz w:val="18"/>
        </w:rPr>
        <w:t xml:space="preserve">File in the ISF or </w:t>
      </w:r>
      <w:r>
        <w:rPr>
          <w:b w:val="0"/>
          <w:sz w:val="18"/>
          <w:highlight w:val="yellow"/>
        </w:rPr>
        <w:t>[BILLING COMPLIANCE FOLDER]</w:t>
      </w:r>
      <w:r>
        <w:rPr>
          <w:b w:val="0"/>
          <w:sz w:val="18"/>
        </w:rPr>
        <w:t xml:space="preserve"> with each billing grid version. Keep billing records for the longer of the SOP-402 period and </w:t>
      </w:r>
      <w:r>
        <w:rPr>
          <w:b w:val="0"/>
          <w:sz w:val="18"/>
          <w:highlight w:val="green"/>
        </w:rPr>
        <w:t>[DEFAULT: 10 years]</w:t>
      </w:r>
      <w:r>
        <w:rPr>
          <w:b w:val="0"/>
          <w:sz w:val="18"/>
        </w:rPr>
        <w:t xml:space="preserve"> for claims records.</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 and version</w:t>
            </w:r>
          </w:p>
        </w:tc>
        <w:tc>
          <w:tcPr>
            <w:tcW w:type="dxa" w:w="2447"/>
          </w:tcPr>
          <w:p/>
        </w:tc>
        <w:tc>
          <w:tcPr>
            <w:tcW w:type="dxa" w:w="2160"/>
            <w:shd w:val="clear" w:color="auto" w:fill="D9E2F3"/>
          </w:tcPr>
          <w:p>
            <w:pPr>
              <w:spacing w:after="0"/>
            </w:pPr>
            <w:r>
              <w:rPr>
                <w:b/>
                <w:sz w:val="17"/>
              </w:rPr>
              <w:t>Sponsor</w:t>
            </w:r>
          </w:p>
        </w:tc>
        <w:tc>
          <w:tcPr>
            <w:tcW w:type="dxa" w:w="2447"/>
          </w:tcPr>
          <w:p/>
        </w:tc>
        <w:tc>
          <w:tcPr>
            <w:tcW w:type="dxa" w:w="2160"/>
            <w:shd w:val="clear" w:color="auto" w:fill="D9E2F3"/>
          </w:tcPr>
          <w:p>
            <w:pPr>
              <w:spacing w:after="0"/>
            </w:pPr>
            <w:r>
              <w:rPr>
                <w:b/>
                <w:sz w:val="17"/>
              </w:rPr>
              <w:t>NCT number</w:t>
            </w:r>
          </w:p>
        </w:tc>
        <w:tc>
          <w:tcPr>
            <w:tcW w:type="dxa" w:w="2447"/>
          </w:tcPr>
          <w:p/>
        </w:tc>
      </w:tr>
      <w:tr>
        <w:trPr>
          <w:trHeight w:val="432"/>
        </w:trPr>
        <w:tc>
          <w:tcPr>
            <w:tcW w:type="dxa" w:w="2160"/>
            <w:shd w:val="clear" w:color="auto" w:fill="D9E2F3"/>
          </w:tcPr>
          <w:p>
            <w:pPr>
              <w:spacing w:after="0"/>
            </w:pPr>
            <w:r>
              <w:rPr>
                <w:b/>
                <w:sz w:val="17"/>
              </w:rPr>
              <w:t>IND number or IDE number and FDA device category</w:t>
            </w:r>
          </w:p>
        </w:tc>
        <w:tc>
          <w:tcPr>
            <w:tcW w:type="dxa" w:w="2447"/>
          </w:tcPr>
          <w:p/>
        </w:tc>
        <w:tc>
          <w:tcPr>
            <w:tcW w:type="dxa" w:w="2160"/>
            <w:shd w:val="clear" w:color="auto" w:fill="D9E2F3"/>
          </w:tcPr>
          <w:p>
            <w:pPr>
              <w:spacing w:after="0"/>
            </w:pPr>
            <w:r>
              <w:rPr>
                <w:b/>
                <w:sz w:val="17"/>
              </w:rPr>
              <w:t>Worksheet version and date</w:t>
            </w:r>
          </w:p>
        </w:tc>
        <w:tc>
          <w:tcPr>
            <w:tcW w:type="dxa" w:w="2447"/>
          </w:tcPr>
          <w:p/>
        </w:tc>
        <w:tc>
          <w:tcPr>
            <w:tcW w:type="dxa" w:w="2160"/>
          </w:tcPr>
          <w:p/>
        </w:tc>
        <w:tc>
          <w:tcPr>
            <w:tcW w:type="dxa" w:w="2447"/>
          </w:tcPr>
          <w:p/>
        </w:tc>
      </w:tr>
    </w:tbl>
    <w:p>
      <w:pPr>
        <w:spacing w:after="0"/>
      </w:pPr>
    </w:p>
    <w:p>
      <w:pPr>
        <w:pStyle w:val="Heading2"/>
      </w:pPr>
      <w:r>
        <w:t>Feasibility determination</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Billing determination at feasibility (none / possible)</w:t>
            </w:r>
          </w:p>
        </w:tc>
        <w:tc>
          <w:tcPr>
            <w:tcW w:type="dxa" w:w="2447"/>
          </w:tcPr>
          <w:p/>
        </w:tc>
        <w:tc>
          <w:tcPr>
            <w:tcW w:type="dxa" w:w="2160"/>
            <w:shd w:val="clear" w:color="auto" w:fill="D9E2F3"/>
          </w:tcPr>
          <w:p>
            <w:pPr>
              <w:spacing w:after="0"/>
            </w:pPr>
            <w:r>
              <w:rPr>
                <w:b/>
                <w:sz w:val="17"/>
              </w:rPr>
              <w:t>Recorded by Site Director (date)</w:t>
            </w:r>
          </w:p>
        </w:tc>
        <w:tc>
          <w:tcPr>
            <w:tcW w:type="dxa" w:w="2447"/>
          </w:tcPr>
          <w:p/>
        </w:tc>
        <w:tc>
          <w:tcPr>
            <w:tcW w:type="dxa" w:w="2160"/>
          </w:tcPr>
          <w:p/>
        </w:tc>
        <w:tc>
          <w:tcPr>
            <w:tcW w:type="dxa" w:w="2447"/>
          </w:tcPr>
          <w:p/>
        </w:tc>
      </w:tr>
    </w:tbl>
    <w:p>
      <w:pPr>
        <w:spacing w:after="0"/>
      </w:pPr>
    </w:p>
    <w:p>
      <w:pPr>
        <w:pStyle w:val="Heading2"/>
      </w:pPr>
      <w:r>
        <w:t>Part A. No insurance billing attestation</w:t>
      </w:r>
    </w:p>
    <w:p>
      <w:pPr>
        <w:spacing w:after="40"/>
      </w:pPr>
      <w:r>
        <w:rPr>
          <w:b w:val="0"/>
          <w:sz w:val="18"/>
        </w:rPr>
        <w:t xml:space="preserve">Complete this part when </w:t>
      </w:r>
      <w:r>
        <w:rPr>
          <w:b w:val="0"/>
          <w:sz w:val="18"/>
          <w:highlight w:val="yellow"/>
        </w:rPr>
        <w:t>[SITE NAME]</w:t>
      </w:r>
      <w:r>
        <w:rPr>
          <w:b w:val="0"/>
          <w:sz w:val="18"/>
        </w:rPr>
        <w:t xml:space="preserve"> bills only the sponsor for this study.</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Study (protocol number and short title)</w:t>
            </w:r>
          </w:p>
        </w:tc>
        <w:tc>
          <w:tcPr>
            <w:tcW w:type="dxa" w:w="2447"/>
          </w:tcPr>
          <w:p/>
        </w:tc>
        <w:tc>
          <w:tcPr>
            <w:tcW w:type="dxa" w:w="2160"/>
            <w:shd w:val="clear" w:color="auto" w:fill="D9E2F3"/>
          </w:tcPr>
          <w:p>
            <w:pPr>
              <w:spacing w:after="0"/>
            </w:pPr>
            <w:r>
              <w:rPr>
                <w:b/>
                <w:sz w:val="17"/>
              </w:rPr>
              <w:t>Date of determination</w:t>
            </w:r>
          </w:p>
        </w:tc>
        <w:tc>
          <w:tcPr>
            <w:tcW w:type="dxa" w:w="2447"/>
          </w:tcPr>
          <w:p/>
        </w:tc>
        <w:tc>
          <w:tcPr>
            <w:tcW w:type="dxa" w:w="2160"/>
          </w:tcP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9792"/>
        <w:gridCol w:w="720"/>
        <w:gridCol w:w="720"/>
        <w:gridCol w:w="2592"/>
      </w:tblGrid>
      <w:tr>
        <w:trPr>
          <w:tblHeader w:val="true"/>
        </w:trPr>
        <w:tc>
          <w:tcPr>
            <w:tcW w:type="dxa" w:w="9792"/>
            <w:shd w:val="clear" w:color="auto" w:fill="D9E2F3"/>
          </w:tcPr>
          <w:p>
            <w:pPr>
              <w:keepNext/>
              <w:spacing w:after="0"/>
            </w:pPr>
            <w:r>
              <w:rPr>
                <w:b/>
                <w:sz w:val="17"/>
              </w:rPr>
              <w:t>Item</w:t>
            </w:r>
          </w:p>
        </w:tc>
        <w:tc>
          <w:tcPr>
            <w:tcW w:type="dxa" w:w="720"/>
            <w:shd w:val="clear" w:color="auto" w:fill="D9E2F3"/>
          </w:tcPr>
          <w:p>
            <w:pPr>
              <w:keepNext/>
              <w:spacing w:after="0"/>
            </w:pPr>
            <w:r>
              <w:rPr>
                <w:b/>
                <w:sz w:val="17"/>
              </w:rPr>
              <w:t>Yes</w:t>
            </w:r>
          </w:p>
        </w:tc>
        <w:tc>
          <w:tcPr>
            <w:tcW w:type="dxa" w:w="720"/>
            <w:shd w:val="clear" w:color="auto" w:fill="D9E2F3"/>
          </w:tcPr>
          <w:p>
            <w:pPr>
              <w:keepNext/>
              <w:spacing w:after="0"/>
            </w:pPr>
            <w:r>
              <w:rPr>
                <w:b/>
                <w:sz w:val="17"/>
              </w:rPr>
              <w:t>No</w:t>
            </w:r>
          </w:p>
        </w:tc>
        <w:tc>
          <w:tcPr>
            <w:tcW w:type="dxa" w:w="2592"/>
            <w:shd w:val="clear" w:color="auto" w:fill="D9E2F3"/>
          </w:tcPr>
          <w:p>
            <w:pPr>
              <w:keepNext/>
              <w:spacing w:after="0"/>
            </w:pPr>
            <w:r>
              <w:rPr>
                <w:b/>
                <w:sz w:val="17"/>
              </w:rPr>
              <w:t>Comment</w:t>
            </w:r>
          </w:p>
        </w:tc>
      </w:tr>
      <w:tr>
        <w:trPr>
          <w:cantSplit w:val="true"/>
          <w:trHeight w:val="403"/>
        </w:trPr>
        <w:tc>
          <w:tcPr>
            <w:tcW w:type="dxa" w:w="9792"/>
          </w:tcPr>
          <w:p>
            <w:pPr>
              <w:keepNext/>
              <w:spacing w:after="0"/>
            </w:pPr>
            <w:r>
              <w:rPr>
                <w:b w:val="0"/>
                <w:sz w:val="17"/>
              </w:rPr>
              <w:t>No protocol item or service will be billed to Medicare, any other insurer or the participant</w:t>
            </w: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9792"/>
          </w:tcPr>
          <w:p>
            <w:pPr>
              <w:keepNext/>
              <w:spacing w:after="0"/>
            </w:pPr>
            <w:r>
              <w:rPr>
                <w:b w:val="0"/>
                <w:sz w:val="17"/>
              </w:rPr>
              <w:t>The budget covers every item in the schedule of assessments</w:t>
            </w: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9792"/>
          </w:tcPr>
          <w:p>
            <w:pPr>
              <w:keepNext/>
              <w:spacing w:after="0"/>
            </w:pPr>
            <w:r>
              <w:rPr>
                <w:b w:val="0"/>
                <w:sz w:val="17"/>
              </w:rPr>
              <w:t>The consent form does not say any study item will be billed to insurance and does not imply cost to the participant</w:t>
            </w: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9792"/>
          </w:tcPr>
          <w:p>
            <w:pPr>
              <w:keepNext/>
              <w:spacing w:after="0"/>
            </w:pPr>
            <w:r>
              <w:rPr>
                <w:b w:val="0"/>
                <w:sz w:val="17"/>
              </w:rPr>
              <w:t>Injury care terms match in the CTA and consent form</w:t>
            </w: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9792"/>
          </w:tcPr>
          <w:p>
            <w:pPr>
              <w:spacing w:after="0"/>
            </w:pPr>
            <w:r>
              <w:rPr>
                <w:b w:val="0"/>
                <w:sz w:val="17"/>
              </w:rPr>
              <w:t>Participants are flagged as research participants in the practice management system so study visits are not billed</w:t>
            </w: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No-claim check ([DEFAULT: quarterly])</w:t>
      </w:r>
    </w:p>
    <w:tbl>
      <w:tblPr>
        <w:tblStyle w:val="TableGrid"/>
        <w:tblW w:type="auto" w:w="0"/>
        <w:jc w:val="left"/>
        <w:tblLayout w:type="fixed"/>
        <w:tblLook w:firstColumn="1" w:firstRow="1" w:lastColumn="0" w:lastRow="0" w:noHBand="0" w:noVBand="1" w:val="04A0"/>
      </w:tblPr>
      <w:tblGrid>
        <w:gridCol w:w="1382"/>
        <w:gridCol w:w="2764"/>
        <w:gridCol w:w="2764"/>
        <w:gridCol w:w="5529"/>
        <w:gridCol w:w="1382"/>
      </w:tblGrid>
      <w:tr>
        <w:trPr>
          <w:tblHeader w:val="true"/>
        </w:trPr>
        <w:tc>
          <w:tcPr>
            <w:tcW w:type="dxa" w:w="1382"/>
            <w:shd w:val="clear" w:color="auto" w:fill="D9E2F3"/>
          </w:tcPr>
          <w:p>
            <w:pPr>
              <w:spacing w:after="0"/>
            </w:pPr>
            <w:r>
              <w:rPr>
                <w:b/>
                <w:sz w:val="17"/>
              </w:rPr>
              <w:t>Check date</w:t>
            </w:r>
          </w:p>
        </w:tc>
        <w:tc>
          <w:tcPr>
            <w:tcW w:type="dxa" w:w="2764"/>
            <w:shd w:val="clear" w:color="auto" w:fill="D9E2F3"/>
          </w:tcPr>
          <w:p>
            <w:pPr>
              <w:spacing w:after="0"/>
            </w:pPr>
            <w:r>
              <w:rPr>
                <w:b/>
                <w:sz w:val="17"/>
              </w:rPr>
              <w:t>Period checked</w:t>
            </w:r>
          </w:p>
        </w:tc>
        <w:tc>
          <w:tcPr>
            <w:tcW w:type="dxa" w:w="2764"/>
            <w:shd w:val="clear" w:color="auto" w:fill="D9E2F3"/>
          </w:tcPr>
          <w:p>
            <w:pPr>
              <w:spacing w:after="0"/>
            </w:pPr>
            <w:r>
              <w:rPr>
                <w:b/>
                <w:sz w:val="17"/>
              </w:rPr>
              <w:t>Claims found for study visits (Y/N)</w:t>
            </w:r>
          </w:p>
        </w:tc>
        <w:tc>
          <w:tcPr>
            <w:tcW w:type="dxa" w:w="5529"/>
            <w:shd w:val="clear" w:color="auto" w:fill="D9E2F3"/>
          </w:tcPr>
          <w:p>
            <w:pPr>
              <w:spacing w:after="0"/>
            </w:pPr>
            <w:r>
              <w:rPr>
                <w:b/>
                <w:sz w:val="17"/>
              </w:rPr>
              <w:t>Action taken if Yes</w:t>
            </w:r>
          </w:p>
        </w:tc>
        <w:tc>
          <w:tcPr>
            <w:tcW w:type="dxa" w:w="1382"/>
            <w:shd w:val="clear" w:color="auto" w:fill="D9E2F3"/>
          </w:tcPr>
          <w:p>
            <w:pPr>
              <w:spacing w:after="0"/>
            </w:pPr>
            <w:r>
              <w:rPr>
                <w:b/>
                <w:sz w:val="17"/>
              </w:rPr>
              <w:t>Checked by (initials)</w:t>
            </w: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5529"/>
          </w:tcPr>
          <w:p>
            <w:pPr>
              <w:spacing w:after="0"/>
            </w:pPr>
          </w:p>
        </w:tc>
        <w:tc>
          <w:tcPr>
            <w:tcW w:type="dxa" w:w="1382"/>
          </w:tcPr>
          <w:p>
            <w:pPr>
              <w:spacing w:after="0"/>
            </w:pPr>
          </w:p>
        </w:tc>
      </w:tr>
    </w:tbl>
    <w:p>
      <w:pPr>
        <w:spacing w:after="4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Finance / Contracts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Site Director</w:t>
            </w:r>
          </w:p>
        </w:tc>
        <w:tc>
          <w:tcPr>
            <w:tcW w:type="dxa" w:w="3594"/>
          </w:tcPr>
          <w:p>
            <w:pPr>
              <w:spacing w:after="0"/>
            </w:pPr>
          </w:p>
        </w:tc>
        <w:tc>
          <w:tcPr>
            <w:tcW w:type="dxa" w:w="4147"/>
          </w:tcPr>
          <w:p>
            <w:pPr>
              <w:spacing w:after="0"/>
            </w:pPr>
          </w:p>
        </w:tc>
        <w:tc>
          <w:tcPr>
            <w:tcW w:type="dxa" w:w="2211"/>
          </w:tcPr>
          <w:p>
            <w:pPr>
              <w:spacing w:after="0"/>
            </w:pPr>
          </w:p>
        </w:tc>
      </w:tr>
    </w:tbl>
    <w:p>
      <w:pPr>
        <w:spacing w:after="40"/>
      </w:pPr>
    </w:p>
    <w:p>
      <w:pPr>
        <w:pStyle w:val="Heading2"/>
      </w:pPr>
      <w:r>
        <w:t>Part B. Full coverage analysis</w:t>
      </w:r>
    </w:p>
    <w:p>
      <w:pPr>
        <w:spacing w:after="40"/>
      </w:pPr>
      <w:r>
        <w:rPr>
          <w:b w:val="0"/>
          <w:sz w:val="18"/>
        </w:rPr>
        <w:t>Complete this part when any study item or service may be billed to Medicare, another insurer or the participant.</w:t>
      </w:r>
    </w:p>
    <w:p>
      <w:pPr>
        <w:pStyle w:val="Heading2"/>
      </w:pPr>
      <w:r>
        <w:t>Qualifying clinical trial (NCD 310.1) and device coverage</w:t>
      </w:r>
    </w:p>
    <w:tbl>
      <w:tblPr>
        <w:tblStyle w:val="TableGrid"/>
        <w:tblW w:type="auto" w:w="0"/>
        <w:jc w:val="left"/>
        <w:tblLayout w:type="fixed"/>
        <w:tblLook w:firstColumn="1" w:firstRow="1" w:lastColumn="0" w:lastRow="0" w:noHBand="0" w:noVBand="1" w:val="04A0"/>
      </w:tblPr>
      <w:tblGrid>
        <w:gridCol w:w="9072"/>
        <w:gridCol w:w="720"/>
        <w:gridCol w:w="720"/>
        <w:gridCol w:w="720"/>
        <w:gridCol w:w="2592"/>
      </w:tblGrid>
      <w:tr>
        <w:trPr>
          <w:tblHeader w:val="true"/>
        </w:trPr>
        <w:tc>
          <w:tcPr>
            <w:tcW w:type="dxa" w:w="9072"/>
            <w:shd w:val="clear" w:color="auto" w:fill="D9E2F3"/>
          </w:tcPr>
          <w:p>
            <w:pPr>
              <w:spacing w:after="0"/>
            </w:pPr>
            <w:r>
              <w:rPr>
                <w:b/>
                <w:sz w:val="17"/>
              </w:rPr>
              <w:t>Item</w:t>
            </w:r>
          </w:p>
        </w:tc>
        <w:tc>
          <w:tcPr>
            <w:tcW w:type="dxa" w:w="720"/>
            <w:shd w:val="clear" w:color="auto" w:fill="D9E2F3"/>
          </w:tcPr>
          <w:p>
            <w:pPr>
              <w:spacing w:after="0"/>
            </w:pPr>
            <w:r>
              <w:rPr>
                <w:b/>
                <w:sz w:val="17"/>
              </w:rPr>
              <w:t>Yes</w:t>
            </w:r>
          </w:p>
        </w:tc>
        <w:tc>
          <w:tcPr>
            <w:tcW w:type="dxa" w:w="720"/>
            <w:shd w:val="clear" w:color="auto" w:fill="D9E2F3"/>
          </w:tcPr>
          <w:p>
            <w:pPr>
              <w:spacing w:after="0"/>
            </w:pPr>
            <w:r>
              <w:rPr>
                <w:b/>
                <w:sz w:val="17"/>
              </w:rPr>
              <w:t>No</w:t>
            </w:r>
          </w:p>
        </w:tc>
        <w:tc>
          <w:tcPr>
            <w:tcW w:type="dxa" w:w="720"/>
            <w:shd w:val="clear" w:color="auto" w:fill="D9E2F3"/>
          </w:tcPr>
          <w:p>
            <w:pPr>
              <w:spacing w:after="0"/>
            </w:pPr>
            <w:r>
              <w:rPr>
                <w:b/>
                <w:sz w:val="17"/>
              </w:rPr>
              <w:t>N/A</w:t>
            </w:r>
          </w:p>
        </w:tc>
        <w:tc>
          <w:tcPr>
            <w:tcW w:type="dxa" w:w="2592"/>
            <w:shd w:val="clear" w:color="auto" w:fill="D9E2F3"/>
          </w:tcPr>
          <w:p>
            <w:pPr>
              <w:spacing w:after="0"/>
            </w:pPr>
            <w:r>
              <w:rPr>
                <w:b/>
                <w:sz w:val="17"/>
              </w:rPr>
              <w:t>Comment</w:t>
            </w:r>
          </w:p>
        </w:tc>
      </w:tr>
      <w:tr>
        <w:trPr>
          <w:cantSplit w:val="true"/>
          <w:trHeight w:val="403"/>
        </w:trPr>
        <w:tc>
          <w:tcPr>
            <w:tcW w:type="dxa" w:w="9072"/>
          </w:tcPr>
          <w:p>
            <w:pPr>
              <w:spacing w:after="0"/>
            </w:pPr>
            <w:r>
              <w:rPr>
                <w:b w:val="0"/>
                <w:sz w:val="17"/>
              </w:rPr>
              <w:t>Evaluates an item or service within a Medicare benefit category and not statutorily excluded</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Has therapeutic intent (not designed solely to test toxicity or disease pathophysiology)</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Enrolls participants with a diagnosed disease (healthy-volunteer arms excluded from routine-cost coverage)</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Deemed: funded by NIH, CDC, AHRQ, CMS, DoD or VA</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Deemed: supported by centers or cooperative groups funded by those agencies</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Deemed: conducted under an IND reviewed by FDA</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Deemed: drug trial exempt from an IND under 21 CFR 312.2(b)(1)</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Device study: CMS IDE approval letter on file (Category A or B)</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Coverage with Evidence Development NCD applies (record below)</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Coverage notes</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CED NCD number and CMS approval</w:t>
            </w:r>
          </w:p>
        </w:tc>
        <w:tc>
          <w:tcPr>
            <w:tcW w:type="dxa" w:w="2447"/>
          </w:tcPr>
          <w:p/>
        </w:tc>
        <w:tc>
          <w:tcPr>
            <w:tcW w:type="dxa" w:w="2160"/>
            <w:shd w:val="clear" w:color="auto" w:fill="D9E2F3"/>
          </w:tcPr>
          <w:p>
            <w:pPr>
              <w:spacing w:after="0"/>
            </w:pPr>
            <w:r>
              <w:rPr>
                <w:b/>
                <w:sz w:val="17"/>
              </w:rPr>
              <w:t>Medicare Advantage billing instruction confirmed (date and source)</w:t>
            </w:r>
          </w:p>
        </w:tc>
        <w:tc>
          <w:tcPr>
            <w:tcW w:type="dxa" w:w="2447"/>
          </w:tcPr>
          <w:p/>
        </w:tc>
        <w:tc>
          <w:tcPr>
            <w:tcW w:type="dxa" w:w="2160"/>
            <w:shd w:val="clear" w:color="auto" w:fill="D9E2F3"/>
          </w:tcPr>
          <w:p>
            <w:pPr>
              <w:spacing w:after="0"/>
            </w:pPr>
            <w:r>
              <w:rPr>
                <w:b/>
                <w:sz w:val="17"/>
              </w:rPr>
              <w:t>Commercial and Medicaid plan requirements checked (prior authorization, network) (date)</w:t>
            </w:r>
          </w:p>
        </w:tc>
        <w:tc>
          <w:tcPr>
            <w:tcW w:type="dxa" w:w="2447"/>
          </w:tcPr>
          <w:p/>
        </w:tc>
      </w:tr>
    </w:tbl>
    <w:p>
      <w:pPr>
        <w:spacing w:after="0"/>
      </w:pPr>
    </w:p>
    <w:p>
      <w:pPr>
        <w:pStyle w:val="Heading2"/>
      </w:pPr>
      <w:r>
        <w:t>Item-by-item worksheet</w:t>
      </w:r>
    </w:p>
    <w:tbl>
      <w:tblPr>
        <w:tblStyle w:val="TableGrid"/>
        <w:tblW w:type="auto" w:w="0"/>
        <w:jc w:val="left"/>
        <w:tblLayout w:type="fixed"/>
        <w:tblLook w:firstColumn="1" w:firstRow="1" w:lastColumn="0" w:lastRow="0" w:noHBand="0" w:noVBand="1" w:val="04A0"/>
      </w:tblPr>
      <w:tblGrid>
        <w:gridCol w:w="3190"/>
        <w:gridCol w:w="1063"/>
        <w:gridCol w:w="1063"/>
        <w:gridCol w:w="1063"/>
        <w:gridCol w:w="1063"/>
        <w:gridCol w:w="1063"/>
        <w:gridCol w:w="3190"/>
        <w:gridCol w:w="1063"/>
        <w:gridCol w:w="1063"/>
      </w:tblGrid>
      <w:tr>
        <w:trPr>
          <w:tblHeader w:val="true"/>
        </w:trPr>
        <w:tc>
          <w:tcPr>
            <w:tcW w:type="dxa" w:w="3190"/>
            <w:shd w:val="clear" w:color="auto" w:fill="D9E2F3"/>
          </w:tcPr>
          <w:p>
            <w:pPr>
              <w:spacing w:after="0"/>
            </w:pPr>
            <w:r>
              <w:rPr>
                <w:b/>
                <w:sz w:val="17"/>
              </w:rPr>
              <w:t>Item or procedure</w:t>
            </w:r>
          </w:p>
        </w:tc>
        <w:tc>
          <w:tcPr>
            <w:tcW w:type="dxa" w:w="1063"/>
            <w:shd w:val="clear" w:color="auto" w:fill="D9E2F3"/>
          </w:tcPr>
          <w:p>
            <w:pPr>
              <w:spacing w:after="0"/>
            </w:pPr>
            <w:r>
              <w:rPr>
                <w:b/>
                <w:sz w:val="17"/>
              </w:rPr>
              <w:t>Visit</w:t>
            </w:r>
          </w:p>
        </w:tc>
        <w:tc>
          <w:tcPr>
            <w:tcW w:type="dxa" w:w="1063"/>
            <w:shd w:val="clear" w:color="auto" w:fill="D9E2F3"/>
          </w:tcPr>
          <w:p>
            <w:pPr>
              <w:spacing w:after="0"/>
            </w:pPr>
            <w:r>
              <w:rPr>
                <w:b/>
                <w:sz w:val="17"/>
              </w:rPr>
              <w:t>CPT/HCPCS</w:t>
            </w:r>
          </w:p>
        </w:tc>
        <w:tc>
          <w:tcPr>
            <w:tcW w:type="dxa" w:w="1063"/>
            <w:shd w:val="clear" w:color="auto" w:fill="D9E2F3"/>
          </w:tcPr>
          <w:p>
            <w:pPr>
              <w:spacing w:after="0"/>
            </w:pPr>
            <w:r>
              <w:rPr>
                <w:b/>
                <w:sz w:val="17"/>
              </w:rPr>
              <w:t>Standard of care at this frequency (Y/N)</w:t>
            </w:r>
          </w:p>
        </w:tc>
        <w:tc>
          <w:tcPr>
            <w:tcW w:type="dxa" w:w="1063"/>
            <w:shd w:val="clear" w:color="auto" w:fill="D9E2F3"/>
          </w:tcPr>
          <w:p>
            <w:pPr>
              <w:spacing w:after="0"/>
            </w:pPr>
            <w:r>
              <w:rPr>
                <w:b/>
                <w:sz w:val="17"/>
              </w:rPr>
              <w:t>Sponsor pays or provides free (Y/N)</w:t>
            </w:r>
          </w:p>
        </w:tc>
        <w:tc>
          <w:tcPr>
            <w:tcW w:type="dxa" w:w="1063"/>
            <w:shd w:val="clear" w:color="auto" w:fill="D9E2F3"/>
          </w:tcPr>
          <w:p>
            <w:pPr>
              <w:spacing w:after="0"/>
            </w:pPr>
            <w:r>
              <w:rPr>
                <w:b/>
                <w:sz w:val="17"/>
              </w:rPr>
              <w:t>Designation (S, R, N, NA)</w:t>
            </w:r>
          </w:p>
        </w:tc>
        <w:tc>
          <w:tcPr>
            <w:tcW w:type="dxa" w:w="3190"/>
            <w:shd w:val="clear" w:color="auto" w:fill="D9E2F3"/>
          </w:tcPr>
          <w:p>
            <w:pPr>
              <w:spacing w:after="0"/>
            </w:pPr>
            <w:r>
              <w:rPr>
                <w:b/>
                <w:sz w:val="17"/>
              </w:rPr>
              <w:t>Basis (guideline, NCD or LCD, published standard, PI attestation)</w:t>
            </w:r>
          </w:p>
        </w:tc>
        <w:tc>
          <w:tcPr>
            <w:tcW w:type="dxa" w:w="1063"/>
            <w:shd w:val="clear" w:color="auto" w:fill="D9E2F3"/>
          </w:tcPr>
          <w:p>
            <w:pPr>
              <w:spacing w:after="0"/>
            </w:pPr>
            <w:r>
              <w:rPr>
                <w:b/>
                <w:sz w:val="17"/>
              </w:rPr>
              <w:t>Budget line</w:t>
            </w:r>
          </w:p>
        </w:tc>
        <w:tc>
          <w:tcPr>
            <w:tcW w:type="dxa" w:w="1063"/>
            <w:shd w:val="clear" w:color="auto" w:fill="D9E2F3"/>
          </w:tcPr>
          <w:p>
            <w:pPr>
              <w:spacing w:after="0"/>
            </w:pPr>
            <w:r>
              <w:rPr>
                <w:b/>
                <w:sz w:val="17"/>
              </w:rPr>
              <w:t>ICF consistent (Y/N)</w:t>
            </w: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bl>
    <w:p>
      <w:pPr>
        <w:spacing w:after="40"/>
      </w:pPr>
    </w:p>
    <w:p>
      <w:pPr>
        <w:pStyle w:val="Heading2"/>
      </w:pPr>
      <w:r>
        <w:t>Key</w:t>
      </w:r>
    </w:p>
    <w:p>
      <w:pPr>
        <w:spacing w:after="40"/>
      </w:pPr>
      <w:r>
        <w:rPr>
          <w:b w:val="0"/>
          <w:sz w:val="18"/>
        </w:rPr>
        <w:t>S = sponsor-paid. R = routine and billable. N = research-only, not billed. NA = not applicable. SOC = standard of care for this population at this frequency. Insurance-billed items carry the Q1 modifier (routine cost in a qualifying trial), the NCT number and condition code 30 on claims; the investigational item, where billable, carries Q0. Never bill insurance for an item the budget pays for, an item the sponsor provides free, or an item done only for data collection.</w:t>
      </w:r>
    </w:p>
    <w:p>
      <w:pPr>
        <w:pStyle w:val="Heading2"/>
      </w:pPr>
      <w:r>
        <w:t>Consistency check before activation</w:t>
      </w:r>
    </w:p>
    <w:tbl>
      <w:tblPr>
        <w:tblStyle w:val="TableGrid"/>
        <w:tblW w:type="auto" w:w="0"/>
        <w:jc w:val="left"/>
        <w:tblLayout w:type="fixed"/>
        <w:tblLook w:firstColumn="1" w:firstRow="1" w:lastColumn="0" w:lastRow="0" w:noHBand="0" w:noVBand="1" w:val="04A0"/>
      </w:tblPr>
      <w:tblGrid>
        <w:gridCol w:w="9792"/>
        <w:gridCol w:w="720"/>
        <w:gridCol w:w="720"/>
        <w:gridCol w:w="2592"/>
      </w:tblGrid>
      <w:tr>
        <w:trPr>
          <w:tblHeader w:val="true"/>
        </w:trPr>
        <w:tc>
          <w:tcPr>
            <w:tcW w:type="dxa" w:w="9792"/>
            <w:shd w:val="clear" w:color="auto" w:fill="D9E2F3"/>
          </w:tcPr>
          <w:p>
            <w:pPr>
              <w:keepNext/>
              <w:spacing w:after="0"/>
            </w:pPr>
            <w:r>
              <w:rPr>
                <w:b/>
                <w:sz w:val="17"/>
              </w:rPr>
              <w:t>Item</w:t>
            </w:r>
          </w:p>
        </w:tc>
        <w:tc>
          <w:tcPr>
            <w:tcW w:type="dxa" w:w="720"/>
            <w:shd w:val="clear" w:color="auto" w:fill="D9E2F3"/>
          </w:tcPr>
          <w:p>
            <w:pPr>
              <w:keepNext/>
              <w:spacing w:after="0"/>
            </w:pPr>
            <w:r>
              <w:rPr>
                <w:b/>
                <w:sz w:val="17"/>
              </w:rPr>
              <w:t>Yes</w:t>
            </w:r>
          </w:p>
        </w:tc>
        <w:tc>
          <w:tcPr>
            <w:tcW w:type="dxa" w:w="720"/>
            <w:shd w:val="clear" w:color="auto" w:fill="D9E2F3"/>
          </w:tcPr>
          <w:p>
            <w:pPr>
              <w:keepNext/>
              <w:spacing w:after="0"/>
            </w:pPr>
            <w:r>
              <w:rPr>
                <w:b/>
                <w:sz w:val="17"/>
              </w:rPr>
              <w:t>No</w:t>
            </w:r>
          </w:p>
        </w:tc>
        <w:tc>
          <w:tcPr>
            <w:tcW w:type="dxa" w:w="2592"/>
            <w:shd w:val="clear" w:color="auto" w:fill="D9E2F3"/>
          </w:tcPr>
          <w:p>
            <w:pPr>
              <w:keepNext/>
              <w:spacing w:after="0"/>
            </w:pPr>
            <w:r>
              <w:rPr>
                <w:b/>
                <w:sz w:val="17"/>
              </w:rPr>
              <w:t>Comment</w:t>
            </w:r>
          </w:p>
        </w:tc>
      </w:tr>
      <w:tr>
        <w:trPr>
          <w:cantSplit w:val="true"/>
          <w:trHeight w:val="403"/>
        </w:trPr>
        <w:tc>
          <w:tcPr>
            <w:tcW w:type="dxa" w:w="9792"/>
          </w:tcPr>
          <w:p>
            <w:pPr>
              <w:keepNext/>
              <w:spacing w:after="0"/>
            </w:pPr>
            <w:r>
              <w:rPr>
                <w:b w:val="0"/>
                <w:sz w:val="17"/>
              </w:rPr>
              <w:t>Every sponsor-paid item is in the budget and no insurance-billed item is also paid by the sponsor</w:t>
            </w: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9792"/>
          </w:tcPr>
          <w:p>
            <w:pPr>
              <w:keepNext/>
              <w:spacing w:after="0"/>
            </w:pPr>
            <w:r>
              <w:rPr>
                <w:b w:val="0"/>
                <w:sz w:val="17"/>
              </w:rPr>
              <w:t>CTA payment and subject injury terms match this worksheet</w:t>
            </w: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9792"/>
          </w:tcPr>
          <w:p>
            <w:pPr>
              <w:keepNext/>
              <w:spacing w:after="0"/>
            </w:pPr>
            <w:r>
              <w:rPr>
                <w:b w:val="0"/>
                <w:sz w:val="17"/>
              </w:rPr>
              <w:t>Consent form costs section matches this worksheet (which items may be billed to insurance, copays and deductibles, sponsor-paid items free)</w:t>
            </w: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9792"/>
          </w:tcPr>
          <w:p>
            <w:pPr>
              <w:spacing w:after="0"/>
            </w:pPr>
            <w:r>
              <w:rPr>
                <w:b w:val="0"/>
                <w:sz w:val="17"/>
              </w:rPr>
              <w:t>Billing grid reproduces this worksheet exactly</w:t>
            </w:r>
          </w:p>
        </w:tc>
        <w:tc>
          <w:tcPr>
            <w:tcW w:type="dxa" w:w="720"/>
          </w:tcPr>
          <w:p>
            <w:pPr>
              <w:spacing w:after="0"/>
            </w:pPr>
          </w:p>
        </w:tc>
        <w:tc>
          <w:tcPr>
            <w:tcW w:type="dxa" w:w="720"/>
          </w:tcPr>
          <w:p>
            <w:pPr>
              <w:spacing w:after="0"/>
            </w:pPr>
          </w:p>
        </w:tc>
        <w:tc>
          <w:tcPr>
            <w:tcW w:type="dxa" w:w="2592"/>
          </w:tcPr>
          <w:p>
            <w:pPr>
              <w:spacing w:after="0"/>
            </w:pPr>
          </w:p>
        </w:tc>
      </w:tr>
    </w:tbl>
    <w:p>
      <w:pPr>
        <w:spacing w:after="4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Finance / Contracts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Principal Investigator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Site Director</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F-202-01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F-202-01 Coverage Analysis Worksheet</w:t>
          </w:r>
        </w:p>
      </w:tc>
      <w:tc>
        <w:tcPr>
          <w:tcW w:type="dxa" w:w="4147"/>
        </w:tcPr>
        <w:p>
          <w:pPr>
            <w:jc w:val="right"/>
          </w:pPr>
          <w:r>
            <w:rPr>
              <w:b w:val="0"/>
              <w:color w:val="404040"/>
              <w:sz w:val="17"/>
            </w:rPr>
            <w:t>Ref: SOP-202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F-202-01 Coverage Analysis Worksheet</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