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Study Feasibility Assessment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the site's data-based assessment of whether it can enroll and conduct a study safely and to protocol, and the go, conditional go or no-go decision.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feasibility owner named by the Site Director completes the form from the synopsis or protocol, leaving the PI at least </w:t>
      </w:r>
      <w:r>
        <w:rPr>
          <w:b w:val="0"/>
          <w:sz w:val="18"/>
          <w:highlight w:val="green"/>
        </w:rPr>
        <w:t>[DEFAULT: 2 business days]</w:t>
      </w:r>
      <w:r>
        <w:rPr>
          <w:b w:val="0"/>
          <w:sz w:val="18"/>
        </w:rPr>
        <w:t xml:space="preserve"> to review before the sponsor due date.</w:t>
      </w:r>
    </w:p>
    <w:p>
      <w:pPr>
        <w:pStyle w:val="ListBullet"/>
        <w:spacing w:after="0"/>
      </w:pPr>
      <w:r>
        <w:rPr>
          <w:b w:val="0"/>
          <w:sz w:val="18"/>
        </w:rPr>
        <w:t>Base counts on site data and record each query. Aggregate counts only: no identifiers on this form and no PHI in any sponsor questionnaire.</w:t>
      </w:r>
    </w:p>
    <w:p>
      <w:pPr>
        <w:pStyle w:val="ListBullet"/>
        <w:spacing w:after="0"/>
      </w:pPr>
      <w:r>
        <w:rPr>
          <w:b w:val="0"/>
          <w:sz w:val="18"/>
        </w:rPr>
        <w:t>Give the enrollment estimate as a range with recorded assumptions. The PI approves it. Every number in the sponsor questionnaire must trace to this form.</w:t>
      </w:r>
    </w:p>
    <w:p>
      <w:pPr>
        <w:pStyle w:val="ListBullet"/>
        <w:spacing w:after="0"/>
      </w:pPr>
      <w:r>
        <w:rPr>
          <w:b w:val="0"/>
          <w:sz w:val="18"/>
        </w:rPr>
        <w:t>The PI and Site Director decide go, conditional go or no-go and sign. A conditional go becomes a go only when the Site Director records that each condition is met.</w:t>
      </w:r>
    </w:p>
    <w:p>
      <w:pPr>
        <w:pStyle w:val="ListBullet"/>
        <w:spacing w:after="0"/>
      </w:pPr>
      <w:r>
        <w:rPr>
          <w:b w:val="0"/>
          <w:sz w:val="18"/>
        </w:rPr>
        <w:t xml:space="preserve">File the form, query outputs and the submitted questionnaire in </w:t>
      </w:r>
      <w:r>
        <w:rPr>
          <w:b w:val="0"/>
          <w:sz w:val="18"/>
          <w:highlight w:val="yellow"/>
        </w:rPr>
        <w:t>[FEASIBILITY FOLDER LOCATION]</w:t>
      </w:r>
      <w:r>
        <w:rPr>
          <w:b w:val="0"/>
          <w:sz w:val="18"/>
        </w:rPr>
        <w:t xml:space="preserve"> (and the ISF if the study proceeds). Keep records of declined studies for </w:t>
      </w:r>
      <w:r>
        <w:rPr>
          <w:b w:val="0"/>
          <w:sz w:val="18"/>
          <w:highlight w:val="green"/>
        </w:rPr>
        <w:t>[DEFAULT: 3 years]</w:t>
      </w:r>
      <w:r>
        <w:rPr>
          <w:b w:val="0"/>
          <w:sz w:val="18"/>
        </w:rPr>
        <w:t>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or CRO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Indication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Phase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received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Feasibility owner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questionnaire due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Internal deadline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Study overview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Study design and IP type (drug, biologic, device, combination)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IP storage requirements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Population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Key inclusion and exclusion criteria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Target enrollment for the site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Enrollment period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Visits per participant, duration and longest visit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Special procedures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of record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Sponsor-investigator study (Y/N); Site Director approval (date)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First screen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Stop factors identified (date sent to Site Director and PI)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Early no-go reason (if any)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Population queries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412"/>
        <w:gridCol w:w="1206"/>
        <w:gridCol w:w="3618"/>
        <w:gridCol w:w="1206"/>
        <w:gridCol w:w="1206"/>
      </w:tblGrid>
      <w:tr>
        <w:trPr>
          <w:tblHeader w:val="true"/>
        </w:trPr>
        <w:tc>
          <w:tcPr>
            <w:tcW w:type="dxa" w:w="241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Data source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run</w:t>
            </w:r>
          </w:p>
        </w:tc>
        <w:tc>
          <w:tcPr>
            <w:tcW w:type="dxa" w:w="361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Criteria applied and look-back period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Count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Run by</w:t>
            </w:r>
          </w:p>
        </w:tc>
      </w:tr>
      <w:tr>
        <w:trPr>
          <w:cantSplit w:val="true"/>
          <w:trHeight w:val="461"/>
        </w:trPr>
        <w:tc>
          <w:tcPr>
            <w:tcW w:type="dxa" w:w="2412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412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412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3618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Population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Criteria that could not be queried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Referral sources and evidence of past referral volume (verbal assurances noted as such)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Enrollment history of comparable studies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412"/>
        <w:gridCol w:w="1206"/>
        <w:gridCol w:w="1206"/>
        <w:gridCol w:w="1206"/>
        <w:gridCol w:w="3618"/>
      </w:tblGrid>
      <w:tr>
        <w:trPr>
          <w:tblHeader w:val="true"/>
        </w:trPr>
        <w:tc>
          <w:tcPr>
            <w:tcW w:type="dxa" w:w="241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Comparable study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Target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Actual enrolled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Months to enroll</w:t>
            </w:r>
          </w:p>
        </w:tc>
        <w:tc>
          <w:tcPr>
            <w:tcW w:type="dxa" w:w="361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Screen-fail rate and main reasons</w:t>
            </w:r>
          </w:p>
        </w:tc>
      </w:tr>
      <w:tr>
        <w:trPr>
          <w:cantSplit w:val="true"/>
          <w:trHeight w:val="461"/>
        </w:trPr>
        <w:tc>
          <w:tcPr>
            <w:tcW w:type="dxa" w:w="2412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412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412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361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Competing studies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24"/>
        <w:gridCol w:w="2412"/>
        <w:gridCol w:w="2412"/>
      </w:tblGrid>
      <w:tr>
        <w:trPr>
          <w:tblHeader w:val="true"/>
        </w:trPr>
        <w:tc>
          <w:tcPr>
            <w:tcW w:type="dxa" w:w="482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Open or planned study (same or overlapping population)</w:t>
            </w:r>
          </w:p>
        </w:tc>
        <w:tc>
          <w:tcPr>
            <w:tcW w:type="dxa" w:w="241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Remaining enrollment target</w:t>
            </w:r>
          </w:p>
        </w:tc>
        <w:tc>
          <w:tcPr>
            <w:tcW w:type="dxa" w:w="241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Notes (nearby sites, same protocol)</w:t>
            </w: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2412"/>
          </w:tcPr>
          <w:p>
            <w:pPr>
              <w:keepNext/>
              <w:spacing w:after="0"/>
            </w:pPr>
          </w:p>
        </w:tc>
        <w:tc>
          <w:tcPr>
            <w:tcW w:type="dxa" w:w="241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2412"/>
          </w:tcPr>
          <w:p>
            <w:pPr>
              <w:keepNext/>
              <w:spacing w:after="0"/>
            </w:pPr>
          </w:p>
        </w:tc>
        <w:tc>
          <w:tcPr>
            <w:tcW w:type="dxa" w:w="241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2412"/>
          </w:tcPr>
          <w:p>
            <w:pPr>
              <w:keepNext/>
              <w:spacing w:after="0"/>
            </w:pPr>
          </w:p>
        </w:tc>
        <w:tc>
          <w:tcPr>
            <w:tcW w:type="dxa" w:w="241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Capacity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Hours per screening visit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Hours per treatment visit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Data entry and query burden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Staffing outcome (existing staff / planned hires / cannot staff)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Proposed study team (names, roles, experience, planned allocation)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and Sub-I time confirmed by Site Director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Facilities and capability (record any gap and the plan to close it in the comment)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Exam rooms, infusion chairs, procedure space and extended-visit capacity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IP storage at the required temperature with monitoring, secure and controlled-substance storage if needed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Specimen processing, freezers, dry ice and shipping within the laboratory manual's windows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Equipment available and calibrated (for example ECG, scales, spirometer)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Local laboratory with the correct CLIA certificate type for on-site testing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Imaging, specialist services or vendors available (qualified under SOP-105)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Systems: internet bandwidth, eCOA devices, sponsor portals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Remote or home visits, if required, can be supported in the participant's state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Special populations supported (pediatric, LAR, language) with staff and IRB-approved materials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Unblinded IP role and trained backup available, separate from blinded assessors (SOP-305)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Quality Lead: no open CAPA, audit or inspection issue that affects this study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PI review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Scientific and medical interest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safety concerns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Standard of care consistent with site practice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Availability for the study duration, including planned absences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Conflict of interest (SOP-104)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Qualification plan if no relevant therapeutic experience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Enrollment estimate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Low estimate (participants)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Expected estimate (participants)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Share meeting unqueried criteria (%)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Share interested and willing (%)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Expected screen-fail rate (%) and source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Months of active enrollment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Share lost to competing studies (%)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Value reported to sponsor (expected or low)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approval of estimate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Financial viability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Finance preliminary view (viable / viable only with negotiation / not viable)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Finance reviewer and date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Decision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Decision (go / conditional go / no-go)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Main reasons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Conditions (conditional go)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Conditions met (Site Director, date)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Override of feasibility owner's recommendation: reason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of decision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Questionnaire reviewed by (PI or Site Director) and submitted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notified (date)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Decision reconfirmed after material protocol change (PI and Site Director, 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Feasibility owner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Principal Investigator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F-200-01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F-200-01 Study Feasibility Assessment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SOP-200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F-200-01 Study Feasibility Assessment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