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Staff Qualification File Checklist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Confirms that a staff member's qualification file is complete before they are delegated study tasks, and tracks screening and expiring credentials.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The Quality Lead (or delegate) completes this checklist at hire. The Regulatory Coordinator uses it with F-103-01 to confirm qualification before the PI signs a delegation.</w:t>
      </w:r>
    </w:p>
    <w:p>
      <w:pPr>
        <w:pStyle w:val="ListBullet"/>
        <w:spacing w:after="0"/>
      </w:pPr>
      <w:r>
        <w:rPr>
          <w:b w:val="0"/>
          <w:sz w:val="18"/>
        </w:rPr>
        <w:t>Mark N/A where an item does not apply to the role (for example, a license for a non-licensed CRC).</w:t>
      </w:r>
    </w:p>
    <w:p>
      <w:pPr>
        <w:pStyle w:val="ListBullet"/>
        <w:spacing w:after="0"/>
      </w:pPr>
      <w:r>
        <w:rPr>
          <w:b w:val="0"/>
          <w:sz w:val="18"/>
        </w:rPr>
        <w:t xml:space="preserve">The Quality Lead reviews the file at hire, when the person is added to a new study, and at least </w:t>
      </w:r>
      <w:r>
        <w:rPr>
          <w:b w:val="0"/>
          <w:sz w:val="18"/>
          <w:highlight w:val="green"/>
        </w:rPr>
        <w:t>[DEFAULT: annually]</w:t>
      </w:r>
      <w:r>
        <w:rPr>
          <w:b w:val="0"/>
          <w:sz w:val="18"/>
        </w:rPr>
        <w:t xml:space="preserve">, and reminds the staff member at least </w:t>
      </w:r>
      <w:r>
        <w:rPr>
          <w:b w:val="0"/>
          <w:sz w:val="18"/>
          <w:highlight w:val="green"/>
        </w:rPr>
        <w:t>[DEFAULT: 60 calendar days]</w:t>
      </w:r>
      <w:r>
        <w:rPr>
          <w:b w:val="0"/>
          <w:sz w:val="18"/>
        </w:rPr>
        <w:t xml:space="preserve"> before a credential expires.</w:t>
      </w:r>
    </w:p>
    <w:p>
      <w:pPr>
        <w:pStyle w:val="ListBullet"/>
        <w:spacing w:after="0"/>
      </w:pPr>
      <w:r>
        <w:rPr>
          <w:b w:val="0"/>
          <w:sz w:val="18"/>
        </w:rPr>
        <w:t>A person whose required license or certification lapses stops the related tasks the same day until renewal is verified.</w:t>
      </w:r>
    </w:p>
    <w:p>
      <w:pPr>
        <w:pStyle w:val="ListBullet"/>
        <w:spacing w:after="0"/>
      </w:pPr>
      <w:r>
        <w:rPr>
          <w:b w:val="0"/>
          <w:sz w:val="18"/>
        </w:rPr>
        <w:t>File in the staff qualification file. Redact personal data the sponsor does not need before sending copies for the ISF.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Staff name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Start date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Qualification file contents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96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89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Yes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No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 xml:space="preserve">CV signed and dated within the last </w:t>
            </w:r>
            <w:r>
              <w:rPr>
                <w:b w:val="0"/>
                <w:sz w:val="17"/>
                <w:highlight w:val="green"/>
              </w:rPr>
              <w:t>[DEFAULT: 2 years]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Signed role description listing research duties (SOP-102)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Signed confidentiality agreement and completed onboarding checklist (F-102-02)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Professional license or certification on file and verified with the issuing board (print or save the verification with the date checked)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Medical license verified for each state where the person sees participants, including remote visits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DEA registration and state controlled-substance registration (investigators who prescribe, dispense or order controlled substances)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Debarment, disqualification and exclusion screen on file and current (SOP-704 5.7; record below)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 xml:space="preserve">GCP training certificate current (renewal every </w:t>
            </w:r>
            <w:r>
              <w:rPr>
                <w:b w:val="0"/>
                <w:sz w:val="17"/>
                <w:highlight w:val="green"/>
              </w:rPr>
              <w:t>[DEFAULT: 3 years]</w:t>
            </w:r>
            <w:r>
              <w:rPr>
                <w:b w:val="0"/>
                <w:sz w:val="17"/>
              </w:rPr>
              <w:t xml:space="preserve"> or as the sponsor requires)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Human subjects protection training, when required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HIPAA and privacy training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Training on all SOPs required for the role (F-100-02)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BLS or ACLS certification where the role or protocol requires it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IATA and DOT dangerous goods training (staff who ship specimens or dry ice)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Bloodborne pathogens training (staff with occupational exposure)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Computer system training and account set-up recorded (F-401-01)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Financial disclosure on file (investigators listed on Form FDA 1572 or device investigator agreement; F-104-01)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Conflict of interest disclosure (all staff; F-104-01)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Staff Training Log opened (F-103-01)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Debarment, disqualification and exclusion screens before hire and at least [DEFAULT: annually]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378"/>
        <w:gridCol w:w="2756"/>
        <w:gridCol w:w="1378"/>
        <w:gridCol w:w="2756"/>
        <w:gridCol w:w="1378"/>
      </w:tblGrid>
      <w:tr>
        <w:trPr>
          <w:tblHeader w:val="true"/>
        </w:trPr>
        <w:tc>
          <w:tcPr>
            <w:tcW w:type="dxa" w:w="137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type="dxa" w:w="275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Lists searched</w:t>
            </w:r>
          </w:p>
        </w:tc>
        <w:tc>
          <w:tcPr>
            <w:tcW w:type="dxa" w:w="137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Name searched</w:t>
            </w:r>
          </w:p>
        </w:tc>
        <w:tc>
          <w:tcPr>
            <w:tcW w:type="dxa" w:w="275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Result (no match, possible match verified, confirmed match)</w:t>
            </w:r>
          </w:p>
        </w:tc>
        <w:tc>
          <w:tcPr>
            <w:tcW w:type="dxa" w:w="137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Screener initials</w:t>
            </w:r>
          </w:p>
        </w:tc>
      </w:tr>
      <w:tr>
        <w:trPr>
          <w:cantSplit w:val="true"/>
          <w:trHeight w:val="461"/>
        </w:trPr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378"/>
          </w:tcPr>
          <w:p>
            <w:pPr>
              <w:spacing w:after="0"/>
            </w:pPr>
          </w:p>
        </w:tc>
        <w:tc>
          <w:tcPr>
            <w:tcW w:type="dxa" w:w="2756"/>
          </w:tcPr>
          <w:p>
            <w:pPr>
              <w:spacing w:after="0"/>
            </w:pPr>
          </w:p>
        </w:tc>
        <w:tc>
          <w:tcPr>
            <w:tcW w:type="dxa" w:w="1378"/>
          </w:tcPr>
          <w:p>
            <w:pPr>
              <w:spacing w:after="0"/>
            </w:pPr>
          </w:p>
        </w:tc>
        <w:tc>
          <w:tcPr>
            <w:tcW w:type="dxa" w:w="2756"/>
          </w:tcPr>
          <w:p>
            <w:pPr>
              <w:spacing w:after="0"/>
            </w:pPr>
          </w:p>
        </w:tc>
        <w:tc>
          <w:tcPr>
            <w:tcW w:type="dxa" w:w="1378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Expiring credentials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216"/>
        <w:gridCol w:w="2144"/>
        <w:gridCol w:w="1072"/>
        <w:gridCol w:w="1072"/>
        <w:gridCol w:w="2144"/>
      </w:tblGrid>
      <w:tr>
        <w:trPr>
          <w:tblHeader w:val="true"/>
        </w:trPr>
        <w:tc>
          <w:tcPr>
            <w:tcW w:type="dxa" w:w="321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Credential</w:t>
            </w:r>
          </w:p>
        </w:tc>
        <w:tc>
          <w:tcPr>
            <w:tcW w:type="dxa" w:w="214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Number</w:t>
            </w:r>
          </w:p>
        </w:tc>
        <w:tc>
          <w:tcPr>
            <w:tcW w:type="dxa" w:w="107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Expiry date</w:t>
            </w:r>
          </w:p>
        </w:tc>
        <w:tc>
          <w:tcPr>
            <w:tcW w:type="dxa" w:w="107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Reminder date</w:t>
            </w:r>
          </w:p>
        </w:tc>
        <w:tc>
          <w:tcPr>
            <w:tcW w:type="dxa" w:w="214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Verified by (initials/date)</w:t>
            </w: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File reviews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378"/>
        <w:gridCol w:w="2756"/>
        <w:gridCol w:w="4134"/>
        <w:gridCol w:w="1378"/>
      </w:tblGrid>
      <w:tr>
        <w:trPr>
          <w:tblHeader w:val="true"/>
        </w:trPr>
        <w:tc>
          <w:tcPr>
            <w:tcW w:type="dxa" w:w="137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Review date</w:t>
            </w:r>
          </w:p>
        </w:tc>
        <w:tc>
          <w:tcPr>
            <w:tcW w:type="dxa" w:w="275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Reason (hire, new study, annual)</w:t>
            </w:r>
          </w:p>
        </w:tc>
        <w:tc>
          <w:tcPr>
            <w:tcW w:type="dxa" w:w="413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Gaps found and action</w:t>
            </w:r>
          </w:p>
        </w:tc>
        <w:tc>
          <w:tcPr>
            <w:tcW w:type="dxa" w:w="137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Reviewer initials</w:t>
            </w:r>
          </w:p>
        </w:tc>
      </w:tr>
      <w:tr>
        <w:trPr>
          <w:cantSplit w:val="true"/>
          <w:trHeight w:val="461"/>
        </w:trPr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4134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4134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4134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378"/>
          </w:tcPr>
          <w:p>
            <w:pPr>
              <w:spacing w:after="0"/>
            </w:pPr>
          </w:p>
        </w:tc>
        <w:tc>
          <w:tcPr>
            <w:tcW w:type="dxa" w:w="2756"/>
          </w:tcPr>
          <w:p>
            <w:pPr>
              <w:spacing w:after="0"/>
            </w:pPr>
          </w:p>
        </w:tc>
        <w:tc>
          <w:tcPr>
            <w:tcW w:type="dxa" w:w="4134"/>
          </w:tcPr>
          <w:p>
            <w:pPr>
              <w:spacing w:after="0"/>
            </w:pPr>
          </w:p>
        </w:tc>
        <w:tc>
          <w:tcPr>
            <w:tcW w:type="dxa" w:w="1378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Verification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701"/>
        <w:gridCol w:w="2508"/>
        <w:gridCol w:w="2894"/>
        <w:gridCol w:w="1543"/>
      </w:tblGrid>
      <w:tr>
        <w:trPr>
          <w:tblHeader w:val="true"/>
        </w:trPr>
        <w:tc>
          <w:tcPr>
            <w:tcW w:type="dxa" w:w="270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25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28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154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spacing w:after="0"/>
            </w:pPr>
            <w:r>
              <w:rPr>
                <w:b w:val="0"/>
                <w:sz w:val="17"/>
              </w:rPr>
              <w:t>Quality Lead or delegate</w:t>
            </w:r>
          </w:p>
        </w:tc>
        <w:tc>
          <w:tcPr>
            <w:tcW w:type="dxa" w:w="2508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543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296" w:right="1296" w:bottom="1008" w:left="1296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48" w:val="right"/>
      </w:tabs>
    </w:pPr>
    <w:r>
      <w:rPr>
        <w:b w:val="0"/>
        <w:color w:val="595959"/>
        <w:sz w:val="16"/>
      </w:rPr>
      <w:t xml:space="preserve">F-103-02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1.3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2315"/>
      <w:gridCol w:w="4438"/>
      <w:gridCol w:w="2894"/>
    </w:tblGrid>
    <w:tr>
      <w:tc>
        <w:tcPr>
          <w:tcW w:type="dxa" w:w="2315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4438"/>
        </w:tcPr>
        <w:p>
          <w:pPr>
            <w:jc w:val="center"/>
          </w:pPr>
          <w:r>
            <w:rPr>
              <w:b/>
              <w:color w:val="404040"/>
              <w:sz w:val="17"/>
            </w:rPr>
            <w:t>F-103-02 Staff Qualification File Checklist</w:t>
          </w:r>
        </w:p>
      </w:tc>
      <w:tc>
        <w:tcPr>
          <w:tcW w:type="dxa" w:w="2894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SOP-103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F-103-02 Staff Qualification File Checklist</dc:title>
  <dc:subject>Form</dc:subject>
  <dc:creator>American Institute for Medical Research (AIMR)</dc:creator>
  <cp:keywords>SOP; GCP; ICH E6(R3); clinical research site</cp:keywords>
  <dc:description>Independent Site SOP Library: Reference Edition, template release 1.3.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Reference Edition</cp:category>
</cp:coreProperties>
</file>