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Network Edition</w:t>
      </w:r>
    </w:p>
    <w:p>
      <w:pPr>
        <w:pStyle w:val="Title"/>
        <w:pBdr>
          <w:bottom w:val="single" w:sz="12" w:space="1" w:color="1F3864"/>
        </w:pBdr>
        <w:spacing w:after="120"/>
      </w:pPr>
      <w:r>
        <w:rPr>
          <w:b w:val="0"/>
          <w:color w:val="1F3864"/>
          <w:sz w:val="36"/>
        </w:rPr>
        <w:t>Central and Site Responsibilities (Exceptions Table)</w:t>
      </w:r>
    </w:p>
    <w:p>
      <w:pPr>
        <w:pStyle w:val="Heading1"/>
      </w:pPr>
      <w:r>
        <w:t>1. How to use this appendix</w:t>
      </w:r>
    </w:p>
    <w:p>
      <w:pPr/>
      <w:r>
        <w:rPr>
          <w:b w:val="0"/>
        </w:rPr>
        <w:t>This appendix applies only in Model N. It does two things. Part 1 lists, once, the duties that always stay at the member site. Part 2 lists the activities a network may centralize, with a default for each. Any activity not listed in Part 2 is done by the member site as its Lean Edition SOP says.</w:t>
      </w:r>
    </w:p>
    <w:p>
      <w:pPr/>
      <w:r>
        <w:rPr>
          <w:b w:val="0"/>
        </w:rPr>
        <w:t>Steps:</w:t>
      </w:r>
    </w:p>
    <w:p>
      <w:pPr>
        <w:pStyle w:val="ListBullet"/>
        <w:spacing w:after="40"/>
        <w:ind w:left="360" w:hanging="259"/>
      </w:pPr>
      <w:r>
        <w:rPr>
          <w:b w:val="0"/>
        </w:rPr>
        <w:t>The Hybrid Rule (SOP-N1 5.2.2) applies to every row. The N-Integrated column applies only to a member site that is the network entity (type a). For every other member site, including a commonly owned subsidiary or a professional corporation under a management services arrangement (type b) and an independent entity (type c), the N-Affiliated column applies to every row.</w:t>
      </w:r>
    </w:p>
    <w:p>
      <w:pPr>
        <w:pStyle w:val="ListBullet"/>
        <w:spacing w:after="40"/>
        <w:ind w:left="360" w:hanging="259"/>
      </w:pPr>
      <w:r>
        <w:rPr>
          <w:b w:val="0"/>
        </w:rPr>
        <w:t>A separate entity uses a different cell only under a row-specific exception that counsel confirms in writing for that site and row, recorded on F-900-02 Part 4 with the counsel reference and, where work or PHI crosses a legal-entity line, the staffing agreement and F-905-01 flow that cover it (SOP-N1 5.2.4). A general grant of authority in the network agreement is not an exception. Approval follows SOP-N1 5.2.5.</w:t>
      </w:r>
    </w:p>
    <w:p>
      <w:pPr>
        <w:pStyle w:val="ListBullet"/>
        <w:spacing w:after="40"/>
        <w:ind w:left="360" w:hanging="259"/>
      </w:pPr>
      <w:r>
        <w:rPr>
          <w:b w:val="0"/>
        </w:rPr>
        <w:t>An affiliated covered entity (ACE) never makes a Network Office activity a use unless the network entity is itself a covered entity and an ACE member. Otherwise the Network Office acts for the ACE members as a business associate under a BAA (SOP-N6 5.3.3).</w:t>
      </w:r>
    </w:p>
    <w:p>
      <w:pPr>
        <w:pStyle w:val="ListBullet"/>
        <w:spacing w:after="40"/>
        <w:ind w:left="360" w:hanging="259"/>
      </w:pPr>
      <w:r>
        <w:rPr>
          <w:b w:val="0"/>
        </w:rPr>
        <w:t>Never use a row to move a Part 1 duty away from the site. The Network Office may support a Part 1 duty (for example by preparing a form for the PI to sign), but the site person named in the Lean SOP still performs and signs it.</w:t>
      </w:r>
    </w:p>
    <w:p>
      <w:pPr>
        <w:pStyle w:val="ListBullet"/>
        <w:spacing w:after="40"/>
        <w:ind w:left="360" w:hanging="259"/>
      </w:pPr>
      <w:r>
        <w:rPr>
          <w:b w:val="0"/>
        </w:rPr>
        <w:t>Where a separate entity's network agreement is silent on a row, the site performs the activity (S) until the agreement is amended.</w:t>
      </w:r>
    </w:p>
    <w:p>
      <w:pPr/>
      <w:r>
        <w:rPr>
          <w:b w:val="0"/>
        </w:rPr>
        <w:t>Codes: C means the Network Office performs the activity and keeps the record; S means the member site does; C/S means shared, with the split stated in the cell. The procedure for each row is in the Network SOP or Supplement section cited; this table says only who.</w:t>
      </w:r>
    </w:p>
    <w:p>
      <w:pPr>
        <w:pStyle w:val="Heading1"/>
      </w:pPr>
      <w:r>
        <w:t>Part 1. Duties that always stay at the site</w:t>
      </w:r>
    </w:p>
    <w:p>
      <w:pPr/>
      <w:r>
        <w:rPr>
          <w:b/>
        </w:rPr>
        <w:t>Investigator duties.</w:t>
      </w:r>
      <w:r>
        <w:rPr>
          <w:b w:val="0"/>
        </w:rPr>
        <w:t xml:space="preserve"> The PI and the investigators listed for the study at the site keep the duties in 21 CFR 312.60 to 312.69, 21 CFR 812.100 to 812.150 and ICH E6(R3) Annex 1, section 2. In particular:</w:t>
      </w:r>
    </w:p>
    <w:p>
      <w:pPr>
        <w:pStyle w:val="ListBullet"/>
        <w:spacing w:after="40"/>
        <w:ind w:left="360" w:hanging="259"/>
      </w:pPr>
      <w:r>
        <w:rPr>
          <w:b w:val="0"/>
        </w:rPr>
        <w:t>signing the Form FDA 1572 or investigator agreement, submissions to the IRB, the eCRF and reports</w:t>
      </w:r>
    </w:p>
    <w:p>
      <w:pPr>
        <w:pStyle w:val="ListBullet"/>
        <w:spacing w:after="40"/>
        <w:ind w:left="360" w:hanging="259"/>
      </w:pPr>
      <w:r>
        <w:rPr>
          <w:b w:val="0"/>
        </w:rPr>
        <w:t>delegating tasks and signing the site's delegation log (F-302-01), and supervising everyone who does delegated work, whoever employs them</w:t>
      </w:r>
    </w:p>
    <w:p>
      <w:pPr>
        <w:pStyle w:val="ListBullet"/>
        <w:spacing w:after="40"/>
        <w:ind w:left="360" w:hanging="259"/>
      </w:pPr>
      <w:r>
        <w:rPr>
          <w:b w:val="0"/>
        </w:rPr>
        <w:t>informed consent, done by staff on the site's delegation log with the site's IRB-approved form</w:t>
      </w:r>
    </w:p>
    <w:p>
      <w:pPr>
        <w:pStyle w:val="ListBullet"/>
        <w:spacing w:after="40"/>
        <w:ind w:left="360" w:hanging="259"/>
      </w:pPr>
      <w:r>
        <w:rPr>
          <w:b w:val="0"/>
        </w:rPr>
        <w:t>eligibility decisions and sign-off on F-303-02</w:t>
      </w:r>
    </w:p>
    <w:p>
      <w:pPr>
        <w:pStyle w:val="ListBullet"/>
        <w:spacing w:after="40"/>
        <w:ind w:left="360" w:hanging="259"/>
      </w:pPr>
      <w:r>
        <w:rPr>
          <w:b w:val="0"/>
        </w:rPr>
        <w:t>medical care, AE assessment (seriousness, severity, causality, expectedness) and SAE reports sent by the site directly to the sponsor</w:t>
      </w:r>
    </w:p>
    <w:p>
      <w:pPr>
        <w:pStyle w:val="ListBullet"/>
        <w:spacing w:after="40"/>
        <w:ind w:left="360" w:hanging="259"/>
      </w:pPr>
      <w:r>
        <w:rPr>
          <w:b w:val="0"/>
        </w:rPr>
        <w:t>classifying protocol deviations and deciding what is reported to the IRB</w:t>
      </w:r>
    </w:p>
    <w:p>
      <w:pPr>
        <w:pStyle w:val="ListBullet"/>
        <w:spacing w:after="40"/>
        <w:ind w:left="360" w:hanging="259"/>
      </w:pPr>
      <w:r>
        <w:rPr>
          <w:b w:val="0"/>
        </w:rPr>
        <w:t>emergency unblinding decisions</w:t>
      </w:r>
    </w:p>
    <w:p>
      <w:pPr>
        <w:pStyle w:val="ListBullet"/>
        <w:spacing w:after="40"/>
        <w:ind w:left="360" w:hanging="259"/>
      </w:pPr>
      <w:r>
        <w:rPr>
          <w:b w:val="0"/>
        </w:rPr>
        <w:t>control of and accountability for IP received for the site</w:t>
      </w:r>
    </w:p>
    <w:p>
      <w:pPr>
        <w:pStyle w:val="ListBullet"/>
        <w:spacing w:after="40"/>
        <w:ind w:left="360" w:hanging="259"/>
      </w:pPr>
      <w:r>
        <w:rPr>
          <w:b w:val="0"/>
        </w:rPr>
        <w:t>accurate source and records, and control of the site's essential records for the full retention period</w:t>
      </w:r>
    </w:p>
    <w:p>
      <w:pPr>
        <w:pStyle w:val="ListBullet"/>
        <w:spacing w:after="40"/>
        <w:ind w:left="360" w:hanging="259"/>
      </w:pPr>
      <w:r>
        <w:rPr>
          <w:b w:val="0"/>
        </w:rPr>
        <w:t>permitting monitoring, audit and inspection, receiving the Form FDA 482 and 483, and signing the response</w:t>
      </w:r>
    </w:p>
    <w:p>
      <w:pPr>
        <w:pStyle w:val="ListBullet"/>
        <w:spacing w:after="40"/>
        <w:ind w:left="360" w:hanging="259"/>
      </w:pPr>
      <w:r>
        <w:rPr>
          <w:b w:val="0"/>
        </w:rPr>
        <w:t>deciding whether to take an allocated study, and any pause of enrollment</w:t>
      </w:r>
    </w:p>
    <w:p>
      <w:pPr/>
      <w:r>
        <w:rPr>
          <w:b/>
        </w:rPr>
        <w:t>Legal-entity and location duties.</w:t>
      </w:r>
      <w:r>
        <w:rPr>
          <w:b w:val="0"/>
        </w:rPr>
        <w:t xml:space="preserve"> These attach to the legal entity or the licensed location:</w:t>
      </w:r>
    </w:p>
    <w:p>
      <w:pPr>
        <w:pStyle w:val="ListBullet"/>
        <w:spacing w:after="40"/>
        <w:ind w:left="360" w:hanging="259"/>
      </w:pPr>
      <w:r>
        <w:rPr>
          <w:b w:val="0"/>
        </w:rPr>
        <w:t>HIPAA covered entity duties of each covered entity, (45 CFR 164.530), including breach decisions (45 CFR 164.400 to 164.414); for separate entities, each entity's own Privacy Officer and Security Officer</w:t>
      </w:r>
    </w:p>
    <w:p>
      <w:pPr>
        <w:pStyle w:val="ListBullet"/>
        <w:spacing w:after="40"/>
        <w:ind w:left="360" w:hanging="259"/>
      </w:pPr>
      <w:r>
        <w:rPr>
          <w:b w:val="0"/>
        </w:rPr>
        <w:t>CLIA certificate for each testing location (42 CFR 493.35(b), 493.55(b))</w:t>
      </w:r>
    </w:p>
    <w:p>
      <w:pPr>
        <w:pStyle w:val="ListBullet"/>
        <w:spacing w:after="40"/>
        <w:ind w:left="360" w:hanging="259"/>
      </w:pPr>
      <w:r>
        <w:rPr>
          <w:b w:val="0"/>
        </w:rPr>
        <w:t>DEA registration for each registrant and location where controlled substances are stored or dispensed (21 CFR 1301.12), and state controlled-substance registration</w:t>
      </w:r>
    </w:p>
    <w:p>
      <w:pPr>
        <w:pStyle w:val="ListBullet"/>
        <w:spacing w:after="40"/>
        <w:ind w:left="360" w:hanging="259"/>
      </w:pPr>
      <w:r>
        <w:rPr>
          <w:b w:val="0"/>
        </w:rPr>
        <w:t>state facility, pharmacy and other licenses for each location</w:t>
      </w:r>
    </w:p>
    <w:p>
      <w:pPr>
        <w:pStyle w:val="ListBullet"/>
        <w:spacing w:after="40"/>
        <w:ind w:left="360" w:hanging="259"/>
      </w:pPr>
      <w:r>
        <w:rPr>
          <w:b w:val="0"/>
        </w:rPr>
        <w:t>employer duties, including DOT hazmat training records for its own employees (49 CFR 172.702(a)) and tax reporting as payer</w:t>
      </w:r>
    </w:p>
    <w:p>
      <w:pPr>
        <w:pStyle w:val="ListBullet"/>
        <w:spacing w:after="40"/>
        <w:ind w:left="360" w:hanging="259"/>
      </w:pPr>
      <w:r>
        <w:rPr>
          <w:b w:val="0"/>
        </w:rPr>
        <w:t>submitting claims under the entity's own billing numbers and the overpayment duty</w:t>
      </w:r>
    </w:p>
    <w:p>
      <w:pPr>
        <w:pStyle w:val="ListBullet"/>
        <w:spacing w:after="40"/>
        <w:ind w:left="360" w:hanging="259"/>
      </w:pPr>
      <w:r>
        <w:rPr>
          <w:b w:val="0"/>
        </w:rPr>
        <w:t>for a separate entity: signing its own contracts unless it has given written authority; deciding conflicts of interest and management plans for its own staff; custody of its own study records</w:t>
      </w:r>
    </w:p>
    <w:p>
      <w:pPr/>
      <w:r>
        <w:rPr>
          <w:b/>
        </w:rPr>
        <w:t>Site-run activities.</w:t>
      </w:r>
      <w:r>
        <w:rPr>
          <w:b w:val="0"/>
        </w:rPr>
        <w:t xml:space="preserve"> Conducting study visits and procedures; eliciting AEs; completing F-205-01 for each study, signed by the site PI and Site Director; keeping the site's business continuity plan (F-705-01) and first response to temperature alarms; hosting audits and inspections.</w:t>
      </w:r>
    </w:p>
    <w:p>
      <w:pPr>
        <w:pStyle w:val="Heading1"/>
      </w:pPr>
      <w:r>
        <w:t>Part 2. Activities a network may centralize</w:t>
      </w:r>
    </w:p>
    <w:tbl>
      <w:tblPr>
        <w:tblStyle w:val="TableGrid"/>
        <w:tblW w:type="auto" w:w="0"/>
        <w:jc w:val="left"/>
        <w:tblLayout w:type="fixed"/>
        <w:tblLook w:firstColumn="1" w:firstRow="1" w:lastColumn="0" w:lastRow="0" w:noHBand="0" w:noVBand="1" w:val="04A0"/>
      </w:tblPr>
      <w:tblGrid>
        <w:gridCol w:w="702"/>
        <w:gridCol w:w="3608"/>
        <w:gridCol w:w="1013"/>
        <w:gridCol w:w="1757"/>
        <w:gridCol w:w="2914"/>
        <w:gridCol w:w="3827"/>
      </w:tblGrid>
      <w:tr>
        <w:trPr>
          <w:tblHeader w:val="true"/>
        </w:trPr>
        <w:tc>
          <w:tcPr>
            <w:tcW w:type="dxa" w:w="702"/>
            <w:shd w:val="clear" w:color="auto" w:fill="D9E2F3"/>
          </w:tcPr>
          <w:p>
            <w:pPr>
              <w:spacing w:after="0"/>
            </w:pPr>
            <w:r>
              <w:rPr>
                <w:b/>
                <w:sz w:val="19"/>
              </w:rPr>
              <w:t>Row ID</w:t>
            </w:r>
          </w:p>
        </w:tc>
        <w:tc>
          <w:tcPr>
            <w:tcW w:type="dxa" w:w="3608"/>
            <w:shd w:val="clear" w:color="auto" w:fill="D9E2F3"/>
          </w:tcPr>
          <w:p>
            <w:pPr>
              <w:spacing w:after="0"/>
            </w:pPr>
            <w:r>
              <w:rPr>
                <w:b/>
                <w:sz w:val="19"/>
              </w:rPr>
              <w:t>Activity</w:t>
            </w:r>
          </w:p>
        </w:tc>
        <w:tc>
          <w:tcPr>
            <w:tcW w:type="dxa" w:w="1013"/>
            <w:shd w:val="clear" w:color="auto" w:fill="D9E2F3"/>
          </w:tcPr>
          <w:p>
            <w:pPr>
              <w:spacing w:after="0"/>
            </w:pPr>
            <w:r>
              <w:rPr>
                <w:b/>
                <w:sz w:val="19"/>
              </w:rPr>
              <w:t>Lean SOP</w:t>
            </w:r>
          </w:p>
        </w:tc>
        <w:tc>
          <w:tcPr>
            <w:tcW w:type="dxa" w:w="1757"/>
            <w:shd w:val="clear" w:color="auto" w:fill="D9E2F3"/>
          </w:tcPr>
          <w:p>
            <w:pPr>
              <w:spacing w:after="0"/>
            </w:pPr>
            <w:r>
              <w:rPr>
                <w:b/>
                <w:sz w:val="19"/>
              </w:rPr>
              <w:t>N-Integrated default</w:t>
            </w:r>
          </w:p>
        </w:tc>
        <w:tc>
          <w:tcPr>
            <w:tcW w:type="dxa" w:w="2914"/>
            <w:shd w:val="clear" w:color="auto" w:fill="D9E2F3"/>
          </w:tcPr>
          <w:p>
            <w:pPr>
              <w:spacing w:after="0"/>
            </w:pPr>
            <w:r>
              <w:rPr>
                <w:b/>
                <w:sz w:val="19"/>
              </w:rPr>
              <w:t>N-Affiliated default</w:t>
            </w:r>
          </w:p>
        </w:tc>
        <w:tc>
          <w:tcPr>
            <w:tcW w:type="dxa" w:w="3827"/>
            <w:shd w:val="clear" w:color="auto" w:fill="D9E2F3"/>
          </w:tcPr>
          <w:p>
            <w:pPr>
              <w:spacing w:after="0"/>
            </w:pPr>
            <w:r>
              <w:rPr>
                <w:b/>
                <w:sz w:val="19"/>
              </w:rPr>
              <w:t>Condition</w:t>
            </w:r>
          </w:p>
        </w:tc>
      </w:tr>
      <w:tr>
        <w:trPr>
          <w:cantSplit w:val="true"/>
        </w:trPr>
        <w:tc>
          <w:tcPr>
            <w:tcW w:type="dxa" w:w="702"/>
          </w:tcPr>
          <w:p>
            <w:pPr>
              <w:spacing w:after="0"/>
            </w:pPr>
            <w:r>
              <w:rPr>
                <w:b w:val="0"/>
                <w:sz w:val="19"/>
              </w:rPr>
              <w:t>B-01</w:t>
            </w:r>
          </w:p>
        </w:tc>
        <w:tc>
          <w:tcPr>
            <w:tcW w:type="dxa" w:w="3608"/>
          </w:tcPr>
          <w:p>
            <w:pPr>
              <w:spacing w:after="0"/>
            </w:pPr>
            <w:r>
              <w:rPr>
                <w:b w:val="0"/>
                <w:sz w:val="19"/>
              </w:rPr>
              <w:t>Network SOP system: master index, editable master, publication, network minimums</w:t>
            </w:r>
          </w:p>
        </w:tc>
        <w:tc>
          <w:tcPr>
            <w:tcW w:type="dxa" w:w="1013"/>
          </w:tcPr>
          <w:p>
            <w:pPr>
              <w:spacing w:after="0"/>
            </w:pPr>
            <w:r>
              <w:rPr>
                <w:b w:val="0"/>
                <w:sz w:val="19"/>
              </w:rPr>
              <w:t>SOP-01</w:t>
            </w:r>
          </w:p>
        </w:tc>
        <w:tc>
          <w:tcPr>
            <w:tcW w:type="dxa" w:w="1757"/>
          </w:tcPr>
          <w:p>
            <w:pPr>
              <w:spacing w:after="0"/>
            </w:pPr>
            <w:r>
              <w:rPr>
                <w:b w:val="0"/>
                <w:sz w:val="19"/>
              </w:rPr>
              <w:t>C</w:t>
            </w:r>
          </w:p>
        </w:tc>
        <w:tc>
          <w:tcPr>
            <w:tcW w:type="dxa" w:w="2914"/>
          </w:tcPr>
          <w:p>
            <w:pPr>
              <w:spacing w:after="0"/>
            </w:pPr>
            <w:r>
              <w:rPr>
                <w:b w:val="0"/>
                <w:sz w:val="19"/>
              </w:rPr>
              <w:t>C</w:t>
            </w:r>
          </w:p>
        </w:tc>
        <w:tc>
          <w:tcPr>
            <w:tcW w:type="dxa" w:w="3827"/>
          </w:tcPr>
          <w:p>
            <w:pPr>
              <w:spacing w:after="0"/>
            </w:pPr>
            <w:r>
              <w:rPr>
                <w:b w:val="0"/>
                <w:sz w:val="19"/>
              </w:rPr>
              <w:t>Each separate entity adopts on F-100-01 before a network SOP binds it (SOP-N1 5.5.4)</w:t>
            </w:r>
          </w:p>
        </w:tc>
      </w:tr>
      <w:tr>
        <w:trPr>
          <w:cantSplit w:val="true"/>
        </w:trPr>
        <w:tc>
          <w:tcPr>
            <w:tcW w:type="dxa" w:w="702"/>
          </w:tcPr>
          <w:p>
            <w:pPr>
              <w:spacing w:after="0"/>
            </w:pPr>
            <w:r>
              <w:rPr>
                <w:b w:val="0"/>
                <w:sz w:val="19"/>
              </w:rPr>
              <w:t>B-02</w:t>
            </w:r>
          </w:p>
        </w:tc>
        <w:tc>
          <w:tcPr>
            <w:tcW w:type="dxa" w:w="3608"/>
          </w:tcPr>
          <w:p>
            <w:pPr>
              <w:spacing w:after="0"/>
            </w:pPr>
            <w:r>
              <w:rPr>
                <w:b w:val="0"/>
                <w:sz w:val="19"/>
              </w:rPr>
              <w:t>Role curricula, network courses and central training records</w:t>
            </w:r>
          </w:p>
        </w:tc>
        <w:tc>
          <w:tcPr>
            <w:tcW w:type="dxa" w:w="1013"/>
          </w:tcPr>
          <w:p>
            <w:pPr>
              <w:spacing w:after="0"/>
            </w:pPr>
            <w:r>
              <w:rPr>
                <w:b w:val="0"/>
                <w:sz w:val="19"/>
              </w:rPr>
              <w:t>SOP-01</w:t>
            </w:r>
          </w:p>
        </w:tc>
        <w:tc>
          <w:tcPr>
            <w:tcW w:type="dxa" w:w="1757"/>
          </w:tcPr>
          <w:p>
            <w:pPr>
              <w:spacing w:after="0"/>
            </w:pPr>
            <w:r>
              <w:rPr>
                <w:b w:val="0"/>
                <w:sz w:val="19"/>
              </w:rPr>
              <w:t>C/S: C sets and delivers; S adds local and state items and confirms completion</w:t>
            </w:r>
          </w:p>
        </w:tc>
        <w:tc>
          <w:tcPr>
            <w:tcW w:type="dxa" w:w="2914"/>
          </w:tcPr>
          <w:p>
            <w:pPr>
              <w:spacing w:after="0"/>
            </w:pPr>
            <w:r>
              <w:rPr>
                <w:b w:val="0"/>
                <w:sz w:val="19"/>
              </w:rPr>
              <w:t>C/S: same where the agreement includes training; S keeps its own records</w:t>
            </w:r>
          </w:p>
        </w:tc>
        <w:tc>
          <w:tcPr>
            <w:tcW w:type="dxa" w:w="3827"/>
          </w:tcPr>
          <w:p>
            <w:pPr>
              <w:spacing w:after="0"/>
            </w:pPr>
            <w:r>
              <w:rPr>
                <w:b w:val="0"/>
                <w:sz w:val="19"/>
              </w:rPr>
              <w:t>Records retrievable by the site for monitors and inspectors</w:t>
            </w:r>
          </w:p>
        </w:tc>
      </w:tr>
      <w:tr>
        <w:trPr>
          <w:cantSplit w:val="true"/>
        </w:trPr>
        <w:tc>
          <w:tcPr>
            <w:tcW w:type="dxa" w:w="702"/>
          </w:tcPr>
          <w:p>
            <w:pPr>
              <w:spacing w:after="0"/>
            </w:pPr>
            <w:r>
              <w:rPr>
                <w:b w:val="0"/>
                <w:sz w:val="19"/>
              </w:rPr>
              <w:t>B-03</w:t>
            </w:r>
          </w:p>
        </w:tc>
        <w:tc>
          <w:tcPr>
            <w:tcW w:type="dxa" w:w="3608"/>
          </w:tcPr>
          <w:p>
            <w:pPr>
              <w:spacing w:after="0"/>
            </w:pPr>
            <w:r>
              <w:rPr>
                <w:b w:val="0"/>
                <w:sz w:val="19"/>
              </w:rPr>
              <w:t>Qualification files, license verification, debarment and exclusion screening</w:t>
            </w:r>
          </w:p>
        </w:tc>
        <w:tc>
          <w:tcPr>
            <w:tcW w:type="dxa" w:w="1013"/>
          </w:tcPr>
          <w:p>
            <w:pPr>
              <w:spacing w:after="0"/>
            </w:pPr>
            <w:r>
              <w:rPr>
                <w:b w:val="0"/>
                <w:sz w:val="19"/>
              </w:rPr>
              <w:t>SOP-01; SOP-M1</w:t>
            </w:r>
          </w:p>
        </w:tc>
        <w:tc>
          <w:tcPr>
            <w:tcW w:type="dxa" w:w="1757"/>
          </w:tcPr>
          <w:p>
            <w:pPr>
              <w:spacing w:after="0"/>
            </w:pPr>
            <w:r>
              <w:rPr>
                <w:b w:val="0"/>
                <w:sz w:val="19"/>
              </w:rPr>
              <w:t>C</w:t>
            </w:r>
          </w:p>
        </w:tc>
        <w:tc>
          <w:tcPr>
            <w:tcW w:type="dxa" w:w="2914"/>
          </w:tcPr>
          <w:p>
            <w:pPr>
              <w:spacing w:after="0"/>
            </w:pPr>
            <w:r>
              <w:rPr>
                <w:b w:val="0"/>
                <w:sz w:val="19"/>
              </w:rPr>
              <w:t>S</w:t>
            </w:r>
          </w:p>
        </w:tc>
        <w:tc>
          <w:tcPr>
            <w:tcW w:type="dxa" w:w="3827"/>
          </w:tcPr>
          <w:p>
            <w:pPr>
              <w:spacing w:after="0"/>
            </w:pPr>
            <w:r>
              <w:rPr>
                <w:b w:val="0"/>
                <w:sz w:val="19"/>
              </w:rPr>
              <w:t>Central screen for a separate entity only if its agreement says so; the employer stays responsible (SOP-N5 5.3.2)</w:t>
            </w:r>
          </w:p>
        </w:tc>
      </w:tr>
      <w:tr>
        <w:trPr>
          <w:cantSplit w:val="true"/>
        </w:trPr>
        <w:tc>
          <w:tcPr>
            <w:tcW w:type="dxa" w:w="702"/>
          </w:tcPr>
          <w:p>
            <w:pPr>
              <w:spacing w:after="0"/>
            </w:pPr>
            <w:r>
              <w:rPr>
                <w:b w:val="0"/>
                <w:sz w:val="19"/>
              </w:rPr>
              <w:t>B-04</w:t>
            </w:r>
          </w:p>
        </w:tc>
        <w:tc>
          <w:tcPr>
            <w:tcW w:type="dxa" w:w="3608"/>
          </w:tcPr>
          <w:p>
            <w:pPr>
              <w:spacing w:after="0"/>
            </w:pPr>
            <w:r>
              <w:rPr>
                <w:b w:val="0"/>
                <w:sz w:val="19"/>
              </w:rPr>
              <w:t>Appendix A worksheet per state</w:t>
            </w:r>
          </w:p>
        </w:tc>
        <w:tc>
          <w:tcPr>
            <w:tcW w:type="dxa" w:w="1013"/>
          </w:tcPr>
          <w:p>
            <w:pPr>
              <w:spacing w:after="0"/>
            </w:pPr>
            <w:r>
              <w:rPr>
                <w:b w:val="0"/>
                <w:sz w:val="19"/>
              </w:rPr>
              <w:t>SOP-01</w:t>
            </w:r>
          </w:p>
        </w:tc>
        <w:tc>
          <w:tcPr>
            <w:tcW w:type="dxa" w:w="1757"/>
          </w:tcPr>
          <w:p>
            <w:pPr>
              <w:spacing w:after="0"/>
            </w:pPr>
            <w:r>
              <w:rPr>
                <w:b w:val="0"/>
                <w:sz w:val="19"/>
              </w:rPr>
              <w:t>C/S: C prepares with counsel; S confirms</w:t>
            </w:r>
          </w:p>
        </w:tc>
        <w:tc>
          <w:tcPr>
            <w:tcW w:type="dxa" w:w="2914"/>
          </w:tcPr>
          <w:p>
            <w:pPr>
              <w:spacing w:after="0"/>
            </w:pPr>
            <w:r>
              <w:rPr>
                <w:b w:val="0"/>
                <w:sz w:val="19"/>
              </w:rPr>
              <w:t>C/S: same; each entity confirms with its own counsel</w:t>
            </w:r>
          </w:p>
        </w:tc>
        <w:tc>
          <w:tcPr>
            <w:tcW w:type="dxa" w:w="3827"/>
          </w:tcPr>
          <w:p>
            <w:pPr>
              <w:spacing w:after="0"/>
            </w:pPr>
            <w:r>
              <w:rPr>
                <w:b w:val="0"/>
                <w:sz w:val="19"/>
              </w:rPr>
              <w:t>Includes corporate practice of medicine and state all-payer anti-kickback answers (SOP-N1 5.2.3; SOP-N3 5.7.3)</w:t>
            </w:r>
          </w:p>
        </w:tc>
      </w:tr>
      <w:tr>
        <w:trPr>
          <w:cantSplit w:val="true"/>
        </w:trPr>
        <w:tc>
          <w:tcPr>
            <w:tcW w:type="dxa" w:w="702"/>
          </w:tcPr>
          <w:p>
            <w:pPr>
              <w:spacing w:after="0"/>
            </w:pPr>
            <w:r>
              <w:rPr>
                <w:b w:val="0"/>
                <w:sz w:val="19"/>
              </w:rPr>
              <w:t>B-05</w:t>
            </w:r>
          </w:p>
        </w:tc>
        <w:tc>
          <w:tcPr>
            <w:tcW w:type="dxa" w:w="3608"/>
          </w:tcPr>
          <w:p>
            <w:pPr>
              <w:spacing w:after="0"/>
            </w:pPr>
            <w:r>
              <w:rPr>
                <w:b w:val="0"/>
                <w:sz w:val="19"/>
              </w:rPr>
              <w:t>Organization chart, role descriptions, onboarding and offboarding</w:t>
            </w:r>
          </w:p>
        </w:tc>
        <w:tc>
          <w:tcPr>
            <w:tcW w:type="dxa" w:w="1013"/>
          </w:tcPr>
          <w:p>
            <w:pPr>
              <w:spacing w:after="0"/>
            </w:pPr>
            <w:r>
              <w:rPr>
                <w:b w:val="0"/>
                <w:sz w:val="19"/>
              </w:rPr>
              <w:t>SOP-02</w:t>
            </w:r>
          </w:p>
        </w:tc>
        <w:tc>
          <w:tcPr>
            <w:tcW w:type="dxa" w:w="1757"/>
          </w:tcPr>
          <w:p>
            <w:pPr>
              <w:spacing w:after="0"/>
            </w:pPr>
            <w:r>
              <w:rPr>
                <w:b w:val="0"/>
                <w:sz w:val="19"/>
              </w:rPr>
              <w:t>C</w:t>
            </w:r>
          </w:p>
        </w:tc>
        <w:tc>
          <w:tcPr>
            <w:tcW w:type="dxa" w:w="2914"/>
          </w:tcPr>
          <w:p>
            <w:pPr>
              <w:spacing w:after="0"/>
            </w:pPr>
            <w:r>
              <w:rPr>
                <w:b w:val="0"/>
                <w:sz w:val="19"/>
              </w:rPr>
              <w:t>S: C handles only accounts in network systems</w:t>
            </w:r>
          </w:p>
        </w:tc>
        <w:tc>
          <w:tcPr>
            <w:tcW w:type="dxa" w:w="3827"/>
          </w:tcPr>
          <w:p>
            <w:pPr>
              <w:spacing w:after="0"/>
            </w:pPr>
            <w:r>
              <w:rPr>
                <w:b w:val="0"/>
                <w:sz w:val="19"/>
              </w:rPr>
              <w:t>Network Office directs a separate entity's staff only as its agreement allows (SOP-N5 5.6.2)</w:t>
            </w:r>
          </w:p>
        </w:tc>
      </w:tr>
      <w:tr>
        <w:trPr>
          <w:cantSplit w:val="true"/>
        </w:trPr>
        <w:tc>
          <w:tcPr>
            <w:tcW w:type="dxa" w:w="702"/>
          </w:tcPr>
          <w:p>
            <w:pPr>
              <w:spacing w:after="0"/>
            </w:pPr>
            <w:r>
              <w:rPr>
                <w:b w:val="0"/>
                <w:sz w:val="19"/>
              </w:rPr>
              <w:t>B-06</w:t>
            </w:r>
          </w:p>
        </w:tc>
        <w:tc>
          <w:tcPr>
            <w:tcW w:type="dxa" w:w="3608"/>
          </w:tcPr>
          <w:p>
            <w:pPr>
              <w:spacing w:after="0"/>
            </w:pPr>
            <w:r>
              <w:rPr>
                <w:b w:val="0"/>
                <w:sz w:val="19"/>
              </w:rPr>
              <w:t>Conflict of interest collection and review, network and platform-wide interests</w:t>
            </w:r>
          </w:p>
        </w:tc>
        <w:tc>
          <w:tcPr>
            <w:tcW w:type="dxa" w:w="1013"/>
          </w:tcPr>
          <w:p>
            <w:pPr>
              <w:spacing w:after="0"/>
            </w:pPr>
            <w:r>
              <w:rPr>
                <w:b w:val="0"/>
                <w:sz w:val="19"/>
              </w:rPr>
              <w:t>SOP-02</w:t>
            </w:r>
          </w:p>
        </w:tc>
        <w:tc>
          <w:tcPr>
            <w:tcW w:type="dxa" w:w="1757"/>
          </w:tcPr>
          <w:p>
            <w:pPr>
              <w:spacing w:after="0"/>
            </w:pPr>
            <w:r>
              <w:rPr>
                <w:b w:val="0"/>
                <w:sz w:val="19"/>
              </w:rPr>
              <w:t>C</w:t>
            </w:r>
          </w:p>
        </w:tc>
        <w:tc>
          <w:tcPr>
            <w:tcW w:type="dxa" w:w="2914"/>
          </w:tcPr>
          <w:p>
            <w:pPr>
              <w:spacing w:after="0"/>
            </w:pPr>
            <w:r>
              <w:rPr>
                <w:b w:val="0"/>
                <w:sz w:val="19"/>
              </w:rPr>
              <w:t>C/S: S decides for its own staff; C collects network interests</w:t>
            </w:r>
          </w:p>
        </w:tc>
        <w:tc>
          <w:tcPr>
            <w:tcW w:type="dxa" w:w="3827"/>
          </w:tcPr>
          <w:p>
            <w:pPr>
              <w:spacing w:after="0"/>
            </w:pPr>
            <w:r>
              <w:rPr>
                <w:b w:val="0"/>
                <w:sz w:val="19"/>
              </w:rPr>
              <w:t>Recusal only for a site-specific interest (SOP-N3 5.4.4)</w:t>
            </w:r>
          </w:p>
        </w:tc>
      </w:tr>
      <w:tr>
        <w:trPr>
          <w:cantSplit w:val="true"/>
        </w:trPr>
        <w:tc>
          <w:tcPr>
            <w:tcW w:type="dxa" w:w="702"/>
          </w:tcPr>
          <w:p>
            <w:pPr>
              <w:spacing w:after="0"/>
            </w:pPr>
            <w:r>
              <w:rPr>
                <w:b w:val="0"/>
                <w:sz w:val="19"/>
              </w:rPr>
              <w:t>B-07</w:t>
            </w:r>
          </w:p>
        </w:tc>
        <w:tc>
          <w:tcPr>
            <w:tcW w:type="dxa" w:w="3608"/>
          </w:tcPr>
          <w:p>
            <w:pPr>
              <w:spacing w:after="0"/>
            </w:pPr>
            <w:r>
              <w:rPr>
                <w:b w:val="0"/>
                <w:sz w:val="19"/>
              </w:rPr>
              <w:t>Prepare 1572, investigator agreement, financial disclosure and regulatory packet</w:t>
            </w:r>
          </w:p>
        </w:tc>
        <w:tc>
          <w:tcPr>
            <w:tcW w:type="dxa" w:w="1013"/>
          </w:tcPr>
          <w:p>
            <w:pPr>
              <w:spacing w:after="0"/>
            </w:pPr>
            <w:r>
              <w:rPr>
                <w:b w:val="0"/>
                <w:sz w:val="19"/>
              </w:rPr>
              <w:t>SOP-02; SOP-03</w:t>
            </w:r>
          </w:p>
        </w:tc>
        <w:tc>
          <w:tcPr>
            <w:tcW w:type="dxa" w:w="1757"/>
          </w:tcPr>
          <w:p>
            <w:pPr>
              <w:spacing w:after="0"/>
            </w:pPr>
            <w:r>
              <w:rPr>
                <w:b w:val="0"/>
                <w:sz w:val="19"/>
              </w:rPr>
              <w:t>C/S: C prepares; PI checks and signs</w:t>
            </w:r>
          </w:p>
        </w:tc>
        <w:tc>
          <w:tcPr>
            <w:tcW w:type="dxa" w:w="2914"/>
          </w:tcPr>
          <w:p>
            <w:pPr>
              <w:spacing w:after="0"/>
            </w:pPr>
            <w:r>
              <w:rPr>
                <w:b w:val="0"/>
                <w:sz w:val="19"/>
              </w:rPr>
              <w:t>C/S: same where the agreement includes regulatory services</w:t>
            </w:r>
          </w:p>
        </w:tc>
        <w:tc>
          <w:tcPr>
            <w:tcW w:type="dxa" w:w="3827"/>
          </w:tcPr>
          <w:p>
            <w:pPr>
              <w:spacing w:after="0"/>
            </w:pPr>
            <w:r>
              <w:rPr>
                <w:b w:val="0"/>
                <w:sz w:val="19"/>
              </w:rPr>
              <w:t>No use of a PI's credentials</w:t>
            </w:r>
          </w:p>
        </w:tc>
      </w:tr>
      <w:tr>
        <w:trPr>
          <w:cantSplit w:val="true"/>
        </w:trPr>
        <w:tc>
          <w:tcPr>
            <w:tcW w:type="dxa" w:w="702"/>
          </w:tcPr>
          <w:p>
            <w:pPr>
              <w:spacing w:after="0"/>
            </w:pPr>
            <w:r>
              <w:rPr>
                <w:b w:val="0"/>
                <w:sz w:val="19"/>
              </w:rPr>
              <w:t>B-08</w:t>
            </w:r>
          </w:p>
        </w:tc>
        <w:tc>
          <w:tcPr>
            <w:tcW w:type="dxa" w:w="3608"/>
          </w:tcPr>
          <w:p>
            <w:pPr>
              <w:spacing w:after="0"/>
            </w:pPr>
            <w:r>
              <w:rPr>
                <w:b w:val="0"/>
                <w:sz w:val="19"/>
              </w:rPr>
              <w:t>IRB of record, reliance agreements and IRB accounts</w:t>
            </w:r>
          </w:p>
        </w:tc>
        <w:tc>
          <w:tcPr>
            <w:tcW w:type="dxa" w:w="1013"/>
          </w:tcPr>
          <w:p>
            <w:pPr>
              <w:spacing w:after="0"/>
            </w:pPr>
            <w:r>
              <w:rPr>
                <w:b w:val="0"/>
                <w:sz w:val="19"/>
              </w:rPr>
              <w:t>SOP-03</w:t>
            </w:r>
          </w:p>
        </w:tc>
        <w:tc>
          <w:tcPr>
            <w:tcW w:type="dxa" w:w="1757"/>
          </w:tcPr>
          <w:p>
            <w:pPr>
              <w:spacing w:after="0"/>
            </w:pPr>
            <w:r>
              <w:rPr>
                <w:b w:val="0"/>
                <w:sz w:val="19"/>
              </w:rPr>
              <w:t>C: network entity signs once</w:t>
            </w:r>
          </w:p>
        </w:tc>
        <w:tc>
          <w:tcPr>
            <w:tcW w:type="dxa" w:w="2914"/>
          </w:tcPr>
          <w:p>
            <w:pPr>
              <w:spacing w:after="0"/>
            </w:pPr>
            <w:r>
              <w:rPr>
                <w:b w:val="0"/>
                <w:sz w:val="19"/>
              </w:rPr>
              <w:t>C/S: C arranges; each engaged entity signs</w:t>
            </w:r>
          </w:p>
        </w:tc>
        <w:tc>
          <w:tcPr>
            <w:tcW w:type="dxa" w:w="3827"/>
          </w:tcPr>
          <w:p>
            <w:pPr>
              <w:spacing w:after="0"/>
            </w:pPr>
            <w:r>
              <w:rPr>
                <w:b w:val="0"/>
                <w:sz w:val="19"/>
              </w:rPr>
              <w:t>C signs for a separate entity only with written authority the IRB accepts</w:t>
            </w:r>
          </w:p>
        </w:tc>
      </w:tr>
      <w:tr>
        <w:trPr>
          <w:cantSplit w:val="true"/>
        </w:trPr>
        <w:tc>
          <w:tcPr>
            <w:tcW w:type="dxa" w:w="702"/>
          </w:tcPr>
          <w:p>
            <w:pPr>
              <w:spacing w:after="0"/>
            </w:pPr>
            <w:r>
              <w:rPr>
                <w:b w:val="0"/>
                <w:sz w:val="19"/>
              </w:rPr>
              <w:t>B-09</w:t>
            </w:r>
          </w:p>
        </w:tc>
        <w:tc>
          <w:tcPr>
            <w:tcW w:type="dxa" w:w="3608"/>
          </w:tcPr>
          <w:p>
            <w:pPr>
              <w:spacing w:after="0"/>
            </w:pPr>
            <w:r>
              <w:rPr>
                <w:b w:val="0"/>
                <w:sz w:val="19"/>
              </w:rPr>
              <w:t>IRB submissions: initial, amendments, continuing review, reportable events</w:t>
            </w:r>
          </w:p>
        </w:tc>
        <w:tc>
          <w:tcPr>
            <w:tcW w:type="dxa" w:w="1013"/>
          </w:tcPr>
          <w:p>
            <w:pPr>
              <w:spacing w:after="0"/>
            </w:pPr>
            <w:r>
              <w:rPr>
                <w:b w:val="0"/>
                <w:sz w:val="19"/>
              </w:rPr>
              <w:t>SOP-03; SOP-09</w:t>
            </w:r>
          </w:p>
        </w:tc>
        <w:tc>
          <w:tcPr>
            <w:tcW w:type="dxa" w:w="1757"/>
          </w:tcPr>
          <w:p>
            <w:pPr>
              <w:spacing w:after="0"/>
            </w:pPr>
            <w:r>
              <w:rPr>
                <w:b w:val="0"/>
                <w:sz w:val="19"/>
              </w:rPr>
              <w:t>C/S: C prepares and submits; PI approves content</w:t>
            </w:r>
          </w:p>
        </w:tc>
        <w:tc>
          <w:tcPr>
            <w:tcW w:type="dxa" w:w="2914"/>
          </w:tcPr>
          <w:p>
            <w:pPr>
              <w:spacing w:after="0"/>
            </w:pPr>
            <w:r>
              <w:rPr>
                <w:b w:val="0"/>
                <w:sz w:val="19"/>
              </w:rPr>
              <w:t>C/S: same</w:t>
            </w:r>
          </w:p>
        </w:tc>
        <w:tc>
          <w:tcPr>
            <w:tcW w:type="dxa" w:w="3827"/>
          </w:tcPr>
          <w:p>
            <w:pPr>
              <w:spacing w:after="0"/>
            </w:pPr>
            <w:r>
              <w:rPr>
                <w:b w:val="0"/>
                <w:sz w:val="19"/>
              </w:rPr>
              <w:t>PI decides reportability</w:t>
            </w:r>
          </w:p>
        </w:tc>
      </w:tr>
      <w:tr>
        <w:trPr>
          <w:cantSplit w:val="true"/>
        </w:trPr>
        <w:tc>
          <w:tcPr>
            <w:tcW w:type="dxa" w:w="702"/>
          </w:tcPr>
          <w:p>
            <w:pPr>
              <w:spacing w:after="0"/>
            </w:pPr>
            <w:r>
              <w:rPr>
                <w:b w:val="0"/>
                <w:sz w:val="19"/>
              </w:rPr>
              <w:t>B-10</w:t>
            </w:r>
          </w:p>
        </w:tc>
        <w:tc>
          <w:tcPr>
            <w:tcW w:type="dxa" w:w="3608"/>
          </w:tcPr>
          <w:p>
            <w:pPr>
              <w:spacing w:after="0"/>
            </w:pPr>
            <w:r>
              <w:rPr>
                <w:b w:val="0"/>
                <w:sz w:val="19"/>
              </w:rPr>
              <w:t>Host ISFs in a central eISF or eRegulatory system</w:t>
            </w:r>
          </w:p>
        </w:tc>
        <w:tc>
          <w:tcPr>
            <w:tcW w:type="dxa" w:w="1013"/>
          </w:tcPr>
          <w:p>
            <w:pPr>
              <w:spacing w:after="0"/>
            </w:pPr>
            <w:r>
              <w:rPr>
                <w:b w:val="0"/>
                <w:sz w:val="19"/>
              </w:rPr>
              <w:t>SOP-03</w:t>
            </w:r>
          </w:p>
        </w:tc>
        <w:tc>
          <w:tcPr>
            <w:tcW w:type="dxa" w:w="1757"/>
          </w:tcPr>
          <w:p>
            <w:pPr>
              <w:spacing w:after="0"/>
            </w:pPr>
            <w:r>
              <w:rPr>
                <w:b w:val="0"/>
                <w:sz w:val="19"/>
              </w:rPr>
              <w:t>C</w:t>
            </w:r>
          </w:p>
        </w:tc>
        <w:tc>
          <w:tcPr>
            <w:tcW w:type="dxa" w:w="2914"/>
          </w:tcPr>
          <w:p>
            <w:pPr>
              <w:spacing w:after="0"/>
            </w:pPr>
            <w:r>
              <w:rPr>
                <w:b w:val="0"/>
                <w:sz w:val="19"/>
              </w:rPr>
              <w:t>C/S: only where the agreement gives the site control, access and full export</w:t>
            </w:r>
          </w:p>
        </w:tc>
        <w:tc>
          <w:tcPr>
            <w:tcW w:type="dxa" w:w="3827"/>
          </w:tcPr>
          <w:p>
            <w:pPr>
              <w:spacing w:after="0"/>
            </w:pPr>
            <w:r>
              <w:rPr>
                <w:b w:val="0"/>
                <w:sz w:val="19"/>
              </w:rPr>
              <w:t>Flow on F-905-01 (SOP-N6 5.7)</w:t>
            </w:r>
          </w:p>
        </w:tc>
      </w:tr>
      <w:tr>
        <w:trPr>
          <w:cantSplit w:val="true"/>
        </w:trPr>
        <w:tc>
          <w:tcPr>
            <w:tcW w:type="dxa" w:w="702"/>
          </w:tcPr>
          <w:p>
            <w:pPr>
              <w:spacing w:after="0"/>
            </w:pPr>
            <w:r>
              <w:rPr>
                <w:b w:val="0"/>
                <w:sz w:val="19"/>
              </w:rPr>
              <w:t>B-11</w:t>
            </w:r>
          </w:p>
        </w:tc>
        <w:tc>
          <w:tcPr>
            <w:tcW w:type="dxa" w:w="3608"/>
          </w:tcPr>
          <w:p>
            <w:pPr>
              <w:spacing w:after="0"/>
            </w:pPr>
            <w:r>
              <w:rPr>
                <w:b w:val="0"/>
                <w:sz w:val="19"/>
              </w:rPr>
              <w:t>Consent template and release of IRB-approved site versions</w:t>
            </w:r>
          </w:p>
        </w:tc>
        <w:tc>
          <w:tcPr>
            <w:tcW w:type="dxa" w:w="1013"/>
          </w:tcPr>
          <w:p>
            <w:pPr>
              <w:spacing w:after="0"/>
            </w:pPr>
            <w:r>
              <w:rPr>
                <w:b w:val="0"/>
                <w:sz w:val="19"/>
              </w:rPr>
              <w:t>SOP-04</w:t>
            </w:r>
          </w:p>
        </w:tc>
        <w:tc>
          <w:tcPr>
            <w:tcW w:type="dxa" w:w="1757"/>
          </w:tcPr>
          <w:p>
            <w:pPr>
              <w:spacing w:after="0"/>
            </w:pPr>
            <w:r>
              <w:rPr>
                <w:b w:val="0"/>
                <w:sz w:val="19"/>
              </w:rPr>
              <w:t>C/S: C releases; S uses only its own version and withdraws superseded copies</w:t>
            </w:r>
          </w:p>
        </w:tc>
        <w:tc>
          <w:tcPr>
            <w:tcW w:type="dxa" w:w="2914"/>
          </w:tcPr>
          <w:p>
            <w:pPr>
              <w:spacing w:after="0"/>
            </w:pPr>
            <w:r>
              <w:rPr>
                <w:b w:val="0"/>
                <w:sz w:val="19"/>
              </w:rPr>
              <w:t>C/S: same</w:t>
            </w:r>
          </w:p>
        </w:tc>
        <w:tc>
          <w:tcPr>
            <w:tcW w:type="dxa" w:w="3827"/>
          </w:tcPr>
          <w:p>
            <w:pPr>
              <w:spacing w:after="0"/>
            </w:pPr>
            <w:r>
              <w:rPr>
                <w:b w:val="0"/>
                <w:sz w:val="19"/>
              </w:rPr>
              <w:t>A version approved for one site is never used at another</w:t>
            </w:r>
          </w:p>
        </w:tc>
      </w:tr>
      <w:tr>
        <w:trPr>
          <w:cantSplit w:val="true"/>
        </w:trPr>
        <w:tc>
          <w:tcPr>
            <w:tcW w:type="dxa" w:w="702"/>
          </w:tcPr>
          <w:p>
            <w:pPr>
              <w:spacing w:after="0"/>
            </w:pPr>
            <w:r>
              <w:rPr>
                <w:b w:val="0"/>
                <w:sz w:val="19"/>
              </w:rPr>
              <w:t>B-12</w:t>
            </w:r>
          </w:p>
        </w:tc>
        <w:tc>
          <w:tcPr>
            <w:tcW w:type="dxa" w:w="3608"/>
          </w:tcPr>
          <w:p>
            <w:pPr>
              <w:spacing w:after="0"/>
            </w:pPr>
            <w:r>
              <w:rPr>
                <w:b w:val="0"/>
                <w:sz w:val="19"/>
              </w:rPr>
              <w:t>Central or remote consent staff</w:t>
            </w:r>
          </w:p>
        </w:tc>
        <w:tc>
          <w:tcPr>
            <w:tcW w:type="dxa" w:w="1013"/>
          </w:tcPr>
          <w:p>
            <w:pPr>
              <w:spacing w:after="0"/>
            </w:pPr>
            <w:r>
              <w:rPr>
                <w:b w:val="0"/>
                <w:sz w:val="19"/>
              </w:rPr>
              <w:t>SOP-04</w:t>
            </w:r>
          </w:p>
        </w:tc>
        <w:tc>
          <w:tcPr>
            <w:tcW w:type="dxa" w:w="1757"/>
          </w:tcPr>
          <w:p>
            <w:pPr>
              <w:spacing w:after="0"/>
            </w:pPr>
            <w:r>
              <w:rPr>
                <w:b w:val="0"/>
                <w:sz w:val="19"/>
              </w:rPr>
              <w:t>C/S: delegated on the site log and trained</w:t>
            </w:r>
          </w:p>
        </w:tc>
        <w:tc>
          <w:tcPr>
            <w:tcW w:type="dxa" w:w="2914"/>
          </w:tcPr>
          <w:p>
            <w:pPr>
              <w:spacing w:after="0"/>
            </w:pPr>
            <w:r>
              <w:rPr>
                <w:b w:val="0"/>
                <w:sz w:val="19"/>
              </w:rPr>
              <w:t>C/S: same plus staffing agreement</w:t>
            </w:r>
          </w:p>
        </w:tc>
        <w:tc>
          <w:tcPr>
            <w:tcW w:type="dxa" w:w="3827"/>
          </w:tcPr>
          <w:p>
            <w:pPr>
              <w:spacing w:after="0"/>
            </w:pPr>
            <w:r>
              <w:rPr>
                <w:b w:val="0"/>
                <w:sz w:val="19"/>
              </w:rPr>
              <w:t>IRB approval for remote consent</w:t>
            </w:r>
          </w:p>
        </w:tc>
      </w:tr>
      <w:tr>
        <w:trPr>
          <w:cantSplit w:val="true"/>
        </w:trPr>
        <w:tc>
          <w:tcPr>
            <w:tcW w:type="dxa" w:w="702"/>
          </w:tcPr>
          <w:p>
            <w:pPr>
              <w:spacing w:after="0"/>
            </w:pPr>
            <w:r>
              <w:rPr>
                <w:b w:val="0"/>
                <w:sz w:val="19"/>
              </w:rPr>
              <w:t>B-13</w:t>
            </w:r>
          </w:p>
        </w:tc>
        <w:tc>
          <w:tcPr>
            <w:tcW w:type="dxa" w:w="3608"/>
          </w:tcPr>
          <w:p>
            <w:pPr>
              <w:spacing w:after="0"/>
            </w:pPr>
            <w:r>
              <w:rPr>
                <w:b w:val="0"/>
                <w:sz w:val="19"/>
              </w:rPr>
              <w:t>Second-person consent QC and eligibility review; routine QC sampling</w:t>
            </w:r>
          </w:p>
        </w:tc>
        <w:tc>
          <w:tcPr>
            <w:tcW w:type="dxa" w:w="1013"/>
          </w:tcPr>
          <w:p>
            <w:pPr>
              <w:spacing w:after="0"/>
            </w:pPr>
            <w:r>
              <w:rPr>
                <w:b w:val="0"/>
                <w:sz w:val="19"/>
              </w:rPr>
              <w:t>SOP-04; SOP-05; SOP-14</w:t>
            </w:r>
          </w:p>
        </w:tc>
        <w:tc>
          <w:tcPr>
            <w:tcW w:type="dxa" w:w="1757"/>
          </w:tcPr>
          <w:p>
            <w:pPr>
              <w:spacing w:after="0"/>
            </w:pPr>
            <w:r>
              <w:rPr>
                <w:b w:val="0"/>
                <w:sz w:val="19"/>
              </w:rPr>
              <w:t>C/S: delegated central reviewer; network sampling scheme allowed</w:t>
            </w:r>
          </w:p>
        </w:tc>
        <w:tc>
          <w:tcPr>
            <w:tcW w:type="dxa" w:w="2914"/>
          </w:tcPr>
          <w:p>
            <w:pPr>
              <w:spacing w:after="0"/>
            </w:pPr>
            <w:r>
              <w:rPr>
                <w:b w:val="0"/>
                <w:sz w:val="19"/>
              </w:rPr>
              <w:t>S, or C/S under a staffing agreement and a PHI pathway on F-905-01</w:t>
            </w:r>
          </w:p>
        </w:tc>
        <w:tc>
          <w:tcPr>
            <w:tcW w:type="dxa" w:w="3827"/>
          </w:tcPr>
          <w:p>
            <w:pPr>
              <w:spacing w:after="0"/>
            </w:pPr>
            <w:r>
              <w:rPr>
                <w:b w:val="0"/>
                <w:sz w:val="19"/>
              </w:rPr>
              <w:t>Access to site records under SOP-N6. PI or Sub-I signs eligibility</w:t>
            </w:r>
          </w:p>
        </w:tc>
      </w:tr>
      <w:tr>
        <w:trPr>
          <w:cantSplit w:val="true"/>
        </w:trPr>
        <w:tc>
          <w:tcPr>
            <w:tcW w:type="dxa" w:w="702"/>
          </w:tcPr>
          <w:p>
            <w:pPr>
              <w:spacing w:after="0"/>
            </w:pPr>
            <w:r>
              <w:rPr>
                <w:b w:val="0"/>
                <w:sz w:val="19"/>
              </w:rPr>
              <w:t>B-14</w:t>
            </w:r>
          </w:p>
        </w:tc>
        <w:tc>
          <w:tcPr>
            <w:tcW w:type="dxa" w:w="3608"/>
          </w:tcPr>
          <w:p>
            <w:pPr>
              <w:spacing w:after="0"/>
            </w:pPr>
            <w:r>
              <w:rPr>
                <w:b w:val="0"/>
                <w:sz w:val="19"/>
              </w:rPr>
              <w:t>Central pre-screening or call center</w:t>
            </w:r>
          </w:p>
        </w:tc>
        <w:tc>
          <w:tcPr>
            <w:tcW w:type="dxa" w:w="1013"/>
          </w:tcPr>
          <w:p>
            <w:pPr>
              <w:spacing w:after="0"/>
            </w:pPr>
            <w:r>
              <w:rPr>
                <w:b w:val="0"/>
                <w:sz w:val="19"/>
              </w:rPr>
              <w:t>SOP-05; SOP-M3</w:t>
            </w:r>
          </w:p>
        </w:tc>
        <w:tc>
          <w:tcPr>
            <w:tcW w:type="dxa" w:w="1757"/>
          </w:tcPr>
          <w:p>
            <w:pPr>
              <w:spacing w:after="0"/>
            </w:pPr>
            <w:r>
              <w:rPr>
                <w:b w:val="0"/>
                <w:sz w:val="19"/>
              </w:rPr>
              <w:t>C/S: delegated staff use the site script; F-300-01 shows receiving site</w:t>
            </w:r>
          </w:p>
        </w:tc>
        <w:tc>
          <w:tcPr>
            <w:tcW w:type="dxa" w:w="2914"/>
          </w:tcPr>
          <w:p>
            <w:pPr>
              <w:spacing w:after="0"/>
            </w:pPr>
            <w:r>
              <w:rPr>
                <w:b w:val="0"/>
                <w:sz w:val="19"/>
              </w:rPr>
              <w:t>C/S: same</w:t>
            </w:r>
          </w:p>
        </w:tc>
        <w:tc>
          <w:tcPr>
            <w:tcW w:type="dxa" w:w="3827"/>
          </w:tcPr>
          <w:p>
            <w:pPr>
              <w:spacing w:after="0"/>
            </w:pPr>
            <w:r>
              <w:rPr>
                <w:b w:val="0"/>
                <w:sz w:val="19"/>
              </w:rPr>
              <w:t>Waiver or authorization for record review (SOP-N6 5.5.2)</w:t>
            </w:r>
          </w:p>
        </w:tc>
      </w:tr>
      <w:tr>
        <w:trPr>
          <w:cantSplit w:val="true"/>
        </w:trPr>
        <w:tc>
          <w:tcPr>
            <w:tcW w:type="dxa" w:w="702"/>
          </w:tcPr>
          <w:p>
            <w:pPr>
              <w:spacing w:after="0"/>
            </w:pPr>
            <w:r>
              <w:rPr>
                <w:b w:val="0"/>
                <w:sz w:val="19"/>
              </w:rPr>
              <w:t>B-15</w:t>
            </w:r>
          </w:p>
        </w:tc>
        <w:tc>
          <w:tcPr>
            <w:tcW w:type="dxa" w:w="3608"/>
          </w:tcPr>
          <w:p>
            <w:pPr>
              <w:spacing w:after="0"/>
            </w:pPr>
            <w:r>
              <w:rPr>
                <w:b w:val="0"/>
                <w:sz w:val="19"/>
              </w:rPr>
              <w:t>Duplicate or concurrent enrollment check across sites</w:t>
            </w:r>
          </w:p>
        </w:tc>
        <w:tc>
          <w:tcPr>
            <w:tcW w:type="dxa" w:w="1013"/>
          </w:tcPr>
          <w:p>
            <w:pPr>
              <w:spacing w:after="0"/>
            </w:pPr>
            <w:r>
              <w:rPr>
                <w:b w:val="0"/>
                <w:sz w:val="19"/>
              </w:rPr>
              <w:t>SOP-05</w:t>
            </w:r>
          </w:p>
        </w:tc>
        <w:tc>
          <w:tcPr>
            <w:tcW w:type="dxa" w:w="1757"/>
          </w:tcPr>
          <w:p>
            <w:pPr>
              <w:spacing w:after="0"/>
            </w:pPr>
            <w:r>
              <w:rPr>
                <w:b w:val="0"/>
                <w:sz w:val="19"/>
              </w:rPr>
              <w:t>C: use within the entity, match or no match</w:t>
            </w:r>
          </w:p>
        </w:tc>
        <w:tc>
          <w:tcPr>
            <w:tcW w:type="dxa" w:w="2914"/>
          </w:tcPr>
          <w:p>
            <w:pPr>
              <w:spacing w:after="0"/>
            </w:pPr>
            <w:r>
              <w:rPr>
                <w:b w:val="0"/>
                <w:sz w:val="19"/>
              </w:rPr>
              <w:t>C: one-way hashed match, match or no match, under a BAA (also for ACE members unless the network entity is an ACE member)</w:t>
            </w:r>
          </w:p>
        </w:tc>
        <w:tc>
          <w:tcPr>
            <w:tcW w:type="dxa" w:w="3827"/>
          </w:tcPr>
          <w:p>
            <w:pPr>
              <w:spacing w:after="0"/>
            </w:pPr>
            <w:r>
              <w:rPr>
                <w:b w:val="0"/>
                <w:sz w:val="19"/>
              </w:rPr>
              <w:t>BAA expressly permitting it; consent and authorization or waiver covers it (SOP-N6 5.5.4)</w:t>
            </w:r>
          </w:p>
        </w:tc>
      </w:tr>
      <w:tr>
        <w:trPr>
          <w:cantSplit w:val="true"/>
        </w:trPr>
        <w:tc>
          <w:tcPr>
            <w:tcW w:type="dxa" w:w="702"/>
          </w:tcPr>
          <w:p>
            <w:pPr>
              <w:spacing w:after="0"/>
            </w:pPr>
            <w:r>
              <w:rPr>
                <w:b w:val="0"/>
                <w:sz w:val="19"/>
              </w:rPr>
              <w:t>B-16</w:t>
            </w:r>
          </w:p>
        </w:tc>
        <w:tc>
          <w:tcPr>
            <w:tcW w:type="dxa" w:w="3608"/>
          </w:tcPr>
          <w:p>
            <w:pPr>
              <w:spacing w:after="0"/>
            </w:pPr>
            <w:r>
              <w:rPr>
                <w:b w:val="0"/>
                <w:sz w:val="19"/>
              </w:rPr>
              <w:t>Shared unblinded pharmacist or IP Manager</w:t>
            </w:r>
          </w:p>
        </w:tc>
        <w:tc>
          <w:tcPr>
            <w:tcW w:type="dxa" w:w="1013"/>
          </w:tcPr>
          <w:p>
            <w:pPr>
              <w:spacing w:after="0"/>
            </w:pPr>
            <w:r>
              <w:rPr>
                <w:b w:val="0"/>
                <w:sz w:val="19"/>
              </w:rPr>
              <w:t>SOP-05; SOP-06</w:t>
            </w:r>
          </w:p>
        </w:tc>
        <w:tc>
          <w:tcPr>
            <w:tcW w:type="dxa" w:w="1757"/>
          </w:tcPr>
          <w:p>
            <w:pPr>
              <w:spacing w:after="0"/>
            </w:pPr>
            <w:r>
              <w:rPr>
                <w:b w:val="0"/>
                <w:sz w:val="19"/>
              </w:rPr>
              <w:t>C/S: named unblinded on each site's F-302-01</w:t>
            </w:r>
          </w:p>
        </w:tc>
        <w:tc>
          <w:tcPr>
            <w:tcW w:type="dxa" w:w="2914"/>
          </w:tcPr>
          <w:p>
            <w:pPr>
              <w:spacing w:after="0"/>
            </w:pPr>
            <w:r>
              <w:rPr>
                <w:b w:val="0"/>
                <w:sz w:val="19"/>
              </w:rPr>
              <w:t>C/S: same under a staffing agreement</w:t>
            </w:r>
          </w:p>
        </w:tc>
        <w:tc>
          <w:tcPr>
            <w:tcW w:type="dxa" w:w="3827"/>
          </w:tcPr>
          <w:p>
            <w:pPr>
              <w:spacing w:after="0"/>
            </w:pPr>
            <w:r>
              <w:rPr>
                <w:b w:val="0"/>
                <w:sz w:val="19"/>
              </w:rPr>
              <w:t>Never a blinded role in the same study</w:t>
            </w:r>
          </w:p>
        </w:tc>
      </w:tr>
      <w:tr>
        <w:trPr>
          <w:cantSplit w:val="true"/>
        </w:trPr>
        <w:tc>
          <w:tcPr>
            <w:tcW w:type="dxa" w:w="702"/>
          </w:tcPr>
          <w:p>
            <w:pPr>
              <w:spacing w:after="0"/>
            </w:pPr>
            <w:r>
              <w:rPr>
                <w:b w:val="0"/>
                <w:sz w:val="19"/>
              </w:rPr>
              <w:t>B-17</w:t>
            </w:r>
          </w:p>
        </w:tc>
        <w:tc>
          <w:tcPr>
            <w:tcW w:type="dxa" w:w="3608"/>
          </w:tcPr>
          <w:p>
            <w:pPr>
              <w:spacing w:after="0"/>
            </w:pPr>
            <w:r>
              <w:rPr>
                <w:b w:val="0"/>
                <w:sz w:val="19"/>
              </w:rPr>
              <w:t>Central pharmacy or IP depot</w:t>
            </w:r>
          </w:p>
        </w:tc>
        <w:tc>
          <w:tcPr>
            <w:tcW w:type="dxa" w:w="1013"/>
          </w:tcPr>
          <w:p>
            <w:pPr>
              <w:spacing w:after="0"/>
            </w:pPr>
            <w:r>
              <w:rPr>
                <w:b w:val="0"/>
                <w:sz w:val="19"/>
              </w:rPr>
              <w:t>SOP-06</w:t>
            </w:r>
          </w:p>
        </w:tc>
        <w:tc>
          <w:tcPr>
            <w:tcW w:type="dxa" w:w="1757"/>
          </w:tcPr>
          <w:p>
            <w:pPr>
              <w:spacing w:after="0"/>
            </w:pPr>
            <w:r>
              <w:rPr>
                <w:b w:val="0"/>
                <w:sz w:val="19"/>
              </w:rPr>
              <w:t>C</w:t>
            </w:r>
          </w:p>
        </w:tc>
        <w:tc>
          <w:tcPr>
            <w:tcW w:type="dxa" w:w="2914"/>
          </w:tcPr>
          <w:p>
            <w:pPr>
              <w:spacing w:after="0"/>
            </w:pPr>
            <w:r>
              <w:rPr>
                <w:b w:val="0"/>
                <w:sz w:val="19"/>
              </w:rPr>
              <w:t>C under a services agreement, with a BAA where PHI is handled</w:t>
            </w:r>
          </w:p>
        </w:tc>
        <w:tc>
          <w:tcPr>
            <w:tcW w:type="dxa" w:w="3827"/>
          </w:tcPr>
          <w:p>
            <w:pPr>
              <w:spacing w:after="0"/>
            </w:pPr>
            <w:r>
              <w:rPr>
                <w:b w:val="0"/>
                <w:sz w:val="19"/>
              </w:rPr>
              <w:t>Sponsor written approval; listed on each 1572; pharmacy law met; DEA registration for the location, and a Schedule I researcher registration for any Schedule I IP. Default is direct shipment; routine controlled-substance redistribution only after counsel confirms registration (SOP-N5 5.8.3)</w:t>
            </w:r>
          </w:p>
        </w:tc>
      </w:tr>
      <w:tr>
        <w:trPr>
          <w:cantSplit w:val="true"/>
        </w:trPr>
        <w:tc>
          <w:tcPr>
            <w:tcW w:type="dxa" w:w="702"/>
          </w:tcPr>
          <w:p>
            <w:pPr>
              <w:spacing w:after="0"/>
            </w:pPr>
            <w:r>
              <w:rPr>
                <w:b w:val="0"/>
                <w:sz w:val="19"/>
              </w:rPr>
              <w:t>B-18</w:t>
            </w:r>
          </w:p>
        </w:tc>
        <w:tc>
          <w:tcPr>
            <w:tcW w:type="dxa" w:w="3608"/>
          </w:tcPr>
          <w:p>
            <w:pPr>
              <w:spacing w:after="0"/>
            </w:pPr>
            <w:r>
              <w:rPr>
                <w:b w:val="0"/>
                <w:sz w:val="19"/>
              </w:rPr>
              <w:t>Central data entry and query resolution</w:t>
            </w:r>
          </w:p>
        </w:tc>
        <w:tc>
          <w:tcPr>
            <w:tcW w:type="dxa" w:w="1013"/>
          </w:tcPr>
          <w:p>
            <w:pPr>
              <w:spacing w:after="0"/>
            </w:pPr>
            <w:r>
              <w:rPr>
                <w:b w:val="0"/>
                <w:sz w:val="19"/>
              </w:rPr>
              <w:t>SOP-07</w:t>
            </w:r>
          </w:p>
        </w:tc>
        <w:tc>
          <w:tcPr>
            <w:tcW w:type="dxa" w:w="1757"/>
          </w:tcPr>
          <w:p>
            <w:pPr>
              <w:spacing w:after="0"/>
            </w:pPr>
            <w:r>
              <w:rPr>
                <w:b w:val="0"/>
                <w:sz w:val="19"/>
              </w:rPr>
              <w:t>C/S: delegated, own EDC account, from site source</w:t>
            </w:r>
          </w:p>
        </w:tc>
        <w:tc>
          <w:tcPr>
            <w:tcW w:type="dxa" w:w="2914"/>
          </w:tcPr>
          <w:p>
            <w:pPr>
              <w:spacing w:after="0"/>
            </w:pPr>
            <w:r>
              <w:rPr>
                <w:b w:val="0"/>
                <w:sz w:val="19"/>
              </w:rPr>
              <w:t>S, or C/S under a staffing agreement and a BAA (F-905-01)</w:t>
            </w:r>
          </w:p>
        </w:tc>
        <w:tc>
          <w:tcPr>
            <w:tcW w:type="dxa" w:w="3827"/>
          </w:tcPr>
          <w:p>
            <w:pPr>
              <w:spacing w:after="0"/>
            </w:pPr>
            <w:r>
              <w:rPr>
                <w:b w:val="0"/>
                <w:sz w:val="19"/>
              </w:rPr>
              <w:t>Site PI or Sub-I signs the eCRF</w:t>
            </w:r>
          </w:p>
        </w:tc>
      </w:tr>
      <w:tr>
        <w:trPr>
          <w:cantSplit w:val="true"/>
        </w:trPr>
        <w:tc>
          <w:tcPr>
            <w:tcW w:type="dxa" w:w="702"/>
          </w:tcPr>
          <w:p>
            <w:pPr>
              <w:spacing w:after="0"/>
            </w:pPr>
            <w:r>
              <w:rPr>
                <w:b w:val="0"/>
                <w:sz w:val="19"/>
              </w:rPr>
              <w:t>B-19</w:t>
            </w:r>
          </w:p>
        </w:tc>
        <w:tc>
          <w:tcPr>
            <w:tcW w:type="dxa" w:w="3608"/>
          </w:tcPr>
          <w:p>
            <w:pPr>
              <w:spacing w:after="0"/>
            </w:pPr>
            <w:r>
              <w:rPr>
                <w:b w:val="0"/>
                <w:sz w:val="19"/>
              </w:rPr>
              <w:t>Network EHR or eSource system</w:t>
            </w:r>
          </w:p>
        </w:tc>
        <w:tc>
          <w:tcPr>
            <w:tcW w:type="dxa" w:w="1013"/>
          </w:tcPr>
          <w:p>
            <w:pPr>
              <w:spacing w:after="0"/>
            </w:pPr>
            <w:r>
              <w:rPr>
                <w:b w:val="0"/>
                <w:sz w:val="19"/>
              </w:rPr>
              <w:t>SOP-07</w:t>
            </w:r>
          </w:p>
        </w:tc>
        <w:tc>
          <w:tcPr>
            <w:tcW w:type="dxa" w:w="1757"/>
          </w:tcPr>
          <w:p>
            <w:pPr>
              <w:spacing w:after="0"/>
            </w:pPr>
            <w:r>
              <w:rPr>
                <w:b w:val="0"/>
                <w:sz w:val="19"/>
              </w:rPr>
              <w:t>C</w:t>
            </w:r>
          </w:p>
        </w:tc>
        <w:tc>
          <w:tcPr>
            <w:tcW w:type="dxa" w:w="2914"/>
          </w:tcPr>
          <w:p>
            <w:pPr>
              <w:spacing w:after="0"/>
            </w:pPr>
            <w:r>
              <w:rPr>
                <w:b w:val="0"/>
                <w:sz w:val="19"/>
              </w:rPr>
              <w:t>S, or a network system under an agreement</w:t>
            </w:r>
          </w:p>
        </w:tc>
        <w:tc>
          <w:tcPr>
            <w:tcW w:type="dxa" w:w="3827"/>
          </w:tcPr>
          <w:p>
            <w:pPr>
              <w:spacing w:after="0"/>
            </w:pPr>
            <w:r>
              <w:rPr>
                <w:b w:val="0"/>
                <w:sz w:val="19"/>
              </w:rPr>
              <w:t>Agreement covers access, ownership and return; F-905-01</w:t>
            </w:r>
          </w:p>
        </w:tc>
      </w:tr>
      <w:tr>
        <w:trPr>
          <w:cantSplit w:val="true"/>
        </w:trPr>
        <w:tc>
          <w:tcPr>
            <w:tcW w:type="dxa" w:w="702"/>
          </w:tcPr>
          <w:p>
            <w:pPr>
              <w:spacing w:after="0"/>
            </w:pPr>
            <w:r>
              <w:rPr>
                <w:b w:val="0"/>
                <w:sz w:val="19"/>
              </w:rPr>
              <w:t>B-20</w:t>
            </w:r>
          </w:p>
        </w:tc>
        <w:tc>
          <w:tcPr>
            <w:tcW w:type="dxa" w:w="3608"/>
          </w:tcPr>
          <w:p>
            <w:pPr>
              <w:spacing w:after="0"/>
            </w:pPr>
            <w:r>
              <w:rPr>
                <w:b w:val="0"/>
                <w:sz w:val="19"/>
              </w:rPr>
              <w:t>Cross-site deviation and CAPA trending; network-wide CAPA</w:t>
            </w:r>
          </w:p>
        </w:tc>
        <w:tc>
          <w:tcPr>
            <w:tcW w:type="dxa" w:w="1013"/>
          </w:tcPr>
          <w:p>
            <w:pPr>
              <w:spacing w:after="0"/>
            </w:pPr>
            <w:r>
              <w:rPr>
                <w:b w:val="0"/>
                <w:sz w:val="19"/>
              </w:rPr>
              <w:t>SOP-08</w:t>
            </w:r>
          </w:p>
        </w:tc>
        <w:tc>
          <w:tcPr>
            <w:tcW w:type="dxa" w:w="1757"/>
          </w:tcPr>
          <w:p>
            <w:pPr>
              <w:spacing w:after="0"/>
            </w:pPr>
            <w:r>
              <w:rPr>
                <w:b w:val="0"/>
                <w:sz w:val="19"/>
              </w:rPr>
              <w:t>C</w:t>
            </w:r>
          </w:p>
        </w:tc>
        <w:tc>
          <w:tcPr>
            <w:tcW w:type="dxa" w:w="2914"/>
          </w:tcPr>
          <w:p>
            <w:pPr>
              <w:spacing w:after="0"/>
            </w:pPr>
            <w:r>
              <w:rPr>
                <w:b w:val="0"/>
                <w:sz w:val="19"/>
              </w:rPr>
              <w:t>C/S: S takes part as the agreement requires</w:t>
            </w:r>
          </w:p>
        </w:tc>
        <w:tc>
          <w:tcPr>
            <w:tcW w:type="dxa" w:w="3827"/>
          </w:tcPr>
          <w:p>
            <w:pPr>
              <w:spacing w:after="0"/>
            </w:pPr>
            <w:r>
              <w:rPr>
                <w:b w:val="0"/>
                <w:sz w:val="19"/>
              </w:rPr>
              <w:t>Site still classifies, reports and runs its own CAPA (SOP-N4 5.8.2)</w:t>
            </w:r>
          </w:p>
        </w:tc>
      </w:tr>
      <w:tr>
        <w:trPr>
          <w:cantSplit w:val="true"/>
        </w:trPr>
        <w:tc>
          <w:tcPr>
            <w:tcW w:type="dxa" w:w="702"/>
          </w:tcPr>
          <w:p>
            <w:pPr>
              <w:spacing w:after="0"/>
            </w:pPr>
            <w:r>
              <w:rPr>
                <w:b w:val="0"/>
                <w:sz w:val="19"/>
              </w:rPr>
              <w:t>B-21</w:t>
            </w:r>
          </w:p>
        </w:tc>
        <w:tc>
          <w:tcPr>
            <w:tcW w:type="dxa" w:w="3608"/>
          </w:tcPr>
          <w:p>
            <w:pPr>
              <w:spacing w:after="0"/>
            </w:pPr>
            <w:r>
              <w:rPr>
                <w:b w:val="0"/>
                <w:sz w:val="19"/>
              </w:rPr>
              <w:t>SAE reporting timeliness tracking</w:t>
            </w:r>
          </w:p>
        </w:tc>
        <w:tc>
          <w:tcPr>
            <w:tcW w:type="dxa" w:w="1013"/>
          </w:tcPr>
          <w:p>
            <w:pPr>
              <w:spacing w:after="0"/>
            </w:pPr>
            <w:r>
              <w:rPr>
                <w:b w:val="0"/>
                <w:sz w:val="19"/>
              </w:rPr>
              <w:t>SOP-09</w:t>
            </w:r>
          </w:p>
        </w:tc>
        <w:tc>
          <w:tcPr>
            <w:tcW w:type="dxa" w:w="1757"/>
          </w:tcPr>
          <w:p>
            <w:pPr>
              <w:spacing w:after="0"/>
            </w:pPr>
            <w:r>
              <w:rPr>
                <w:b w:val="0"/>
                <w:sz w:val="19"/>
              </w:rPr>
              <w:t>C: from dates</w:t>
            </w:r>
          </w:p>
        </w:tc>
        <w:tc>
          <w:tcPr>
            <w:tcW w:type="dxa" w:w="2914"/>
          </w:tcPr>
          <w:p>
            <w:pPr>
              <w:spacing w:after="0"/>
            </w:pPr>
            <w:r>
              <w:rPr>
                <w:b w:val="0"/>
                <w:sz w:val="19"/>
              </w:rPr>
              <w:t>C/S: days and protocol timeline only</w:t>
            </w:r>
          </w:p>
        </w:tc>
        <w:tc>
          <w:tcPr>
            <w:tcW w:type="dxa" w:w="3827"/>
          </w:tcPr>
          <w:p>
            <w:pPr>
              <w:spacing w:after="0"/>
            </w:pPr>
            <w:r>
              <w:rPr>
                <w:b w:val="0"/>
                <w:sz w:val="19"/>
              </w:rPr>
              <w:t>More only under F-905-01. Never assesses seriousness or causality (SOP-N4 5.3.2)</w:t>
            </w:r>
          </w:p>
        </w:tc>
      </w:tr>
      <w:tr>
        <w:trPr>
          <w:cantSplit w:val="true"/>
        </w:trPr>
        <w:tc>
          <w:tcPr>
            <w:tcW w:type="dxa" w:w="702"/>
          </w:tcPr>
          <w:p>
            <w:pPr>
              <w:spacing w:after="0"/>
            </w:pPr>
            <w:r>
              <w:rPr>
                <w:b w:val="0"/>
                <w:sz w:val="19"/>
              </w:rPr>
              <w:t>B-22</w:t>
            </w:r>
          </w:p>
        </w:tc>
        <w:tc>
          <w:tcPr>
            <w:tcW w:type="dxa" w:w="3608"/>
          </w:tcPr>
          <w:p>
            <w:pPr>
              <w:spacing w:after="0"/>
            </w:pPr>
            <w:r>
              <w:rPr>
                <w:b w:val="0"/>
                <w:sz w:val="19"/>
              </w:rPr>
              <w:t>Receive and distribute sponsor safety reports; keep IRB policy summaries</w:t>
            </w:r>
          </w:p>
        </w:tc>
        <w:tc>
          <w:tcPr>
            <w:tcW w:type="dxa" w:w="1013"/>
          </w:tcPr>
          <w:p>
            <w:pPr>
              <w:spacing w:after="0"/>
            </w:pPr>
            <w:r>
              <w:rPr>
                <w:b w:val="0"/>
                <w:sz w:val="19"/>
              </w:rPr>
              <w:t>SOP-09</w:t>
            </w:r>
          </w:p>
        </w:tc>
        <w:tc>
          <w:tcPr>
            <w:tcW w:type="dxa" w:w="1757"/>
          </w:tcPr>
          <w:p>
            <w:pPr>
              <w:spacing w:after="0"/>
            </w:pPr>
            <w:r>
              <w:rPr>
                <w:b w:val="0"/>
                <w:sz w:val="19"/>
              </w:rPr>
              <w:t>C/S: C distributes; PI acknowledges</w:t>
            </w:r>
          </w:p>
        </w:tc>
        <w:tc>
          <w:tcPr>
            <w:tcW w:type="dxa" w:w="2914"/>
          </w:tcPr>
          <w:p>
            <w:pPr>
              <w:spacing w:after="0"/>
            </w:pPr>
            <w:r>
              <w:rPr>
                <w:b w:val="0"/>
                <w:sz w:val="19"/>
              </w:rPr>
              <w:t>C/S: same</w:t>
            </w:r>
          </w:p>
        </w:tc>
        <w:tc>
          <w:tcPr>
            <w:tcW w:type="dxa" w:w="3827"/>
          </w:tcPr>
          <w:p>
            <w:pPr>
              <w:spacing w:after="0"/>
            </w:pPr>
            <w:r>
              <w:rPr>
                <w:b w:val="0"/>
                <w:sz w:val="19"/>
              </w:rPr>
              <w:t>Acknowledgment filed in the site ISF</w:t>
            </w:r>
          </w:p>
        </w:tc>
      </w:tr>
      <w:tr>
        <w:trPr>
          <w:cantSplit w:val="true"/>
        </w:trPr>
        <w:tc>
          <w:tcPr>
            <w:tcW w:type="dxa" w:w="702"/>
          </w:tcPr>
          <w:p>
            <w:pPr>
              <w:spacing w:after="0"/>
            </w:pPr>
            <w:r>
              <w:rPr>
                <w:b w:val="0"/>
                <w:sz w:val="19"/>
              </w:rPr>
              <w:t>B-23</w:t>
            </w:r>
          </w:p>
        </w:tc>
        <w:tc>
          <w:tcPr>
            <w:tcW w:type="dxa" w:w="3608"/>
          </w:tcPr>
          <w:p>
            <w:pPr>
              <w:spacing w:after="0"/>
            </w:pPr>
            <w:r>
              <w:rPr>
                <w:b w:val="0"/>
                <w:sz w:val="19"/>
              </w:rPr>
              <w:t>Central participant payment program</w:t>
            </w:r>
          </w:p>
        </w:tc>
        <w:tc>
          <w:tcPr>
            <w:tcW w:type="dxa" w:w="1013"/>
          </w:tcPr>
          <w:p>
            <w:pPr>
              <w:spacing w:after="0"/>
            </w:pPr>
            <w:r>
              <w:rPr>
                <w:b w:val="0"/>
                <w:sz w:val="19"/>
              </w:rPr>
              <w:t>SOP-10</w:t>
            </w:r>
          </w:p>
        </w:tc>
        <w:tc>
          <w:tcPr>
            <w:tcW w:type="dxa" w:w="1757"/>
          </w:tcPr>
          <w:p>
            <w:pPr>
              <w:spacing w:after="0"/>
            </w:pPr>
            <w:r>
              <w:rPr>
                <w:b w:val="0"/>
                <w:sz w:val="19"/>
              </w:rPr>
              <w:t>C: network entity is payer</w:t>
            </w:r>
          </w:p>
        </w:tc>
        <w:tc>
          <w:tcPr>
            <w:tcW w:type="dxa" w:w="2914"/>
          </w:tcPr>
          <w:p>
            <w:pPr>
              <w:spacing w:after="0"/>
            </w:pPr>
            <w:r>
              <w:rPr>
                <w:b w:val="0"/>
                <w:sz w:val="19"/>
              </w:rPr>
              <w:t>C/S: payer named in the agreement</w:t>
            </w:r>
          </w:p>
        </w:tc>
        <w:tc>
          <w:tcPr>
            <w:tcW w:type="dxa" w:w="3827"/>
          </w:tcPr>
          <w:p>
            <w:pPr>
              <w:spacing w:after="0"/>
            </w:pPr>
            <w:r>
              <w:rPr>
                <w:b w:val="0"/>
                <w:sz w:val="19"/>
              </w:rPr>
              <w:t>C is payer for payments from its own account; F-905-01 (SOP-N3 5.7.7)</w:t>
            </w:r>
          </w:p>
        </w:tc>
      </w:tr>
      <w:tr>
        <w:trPr>
          <w:cantSplit w:val="true"/>
        </w:trPr>
        <w:tc>
          <w:tcPr>
            <w:tcW w:type="dxa" w:w="702"/>
          </w:tcPr>
          <w:p>
            <w:pPr>
              <w:spacing w:after="0"/>
            </w:pPr>
            <w:r>
              <w:rPr>
                <w:b w:val="0"/>
                <w:sz w:val="19"/>
              </w:rPr>
              <w:t>B-24</w:t>
            </w:r>
          </w:p>
        </w:tc>
        <w:tc>
          <w:tcPr>
            <w:tcW w:type="dxa" w:w="3608"/>
          </w:tcPr>
          <w:p>
            <w:pPr>
              <w:spacing w:after="0"/>
            </w:pPr>
            <w:r>
              <w:rPr>
                <w:b w:val="0"/>
                <w:sz w:val="19"/>
              </w:rPr>
              <w:t>Specimen processing hub or network laboratory</w:t>
            </w:r>
          </w:p>
        </w:tc>
        <w:tc>
          <w:tcPr>
            <w:tcW w:type="dxa" w:w="1013"/>
          </w:tcPr>
          <w:p>
            <w:pPr>
              <w:spacing w:after="0"/>
            </w:pPr>
            <w:r>
              <w:rPr>
                <w:b w:val="0"/>
                <w:sz w:val="19"/>
              </w:rPr>
              <w:t>SOP-11</w:t>
            </w:r>
          </w:p>
        </w:tc>
        <w:tc>
          <w:tcPr>
            <w:tcW w:type="dxa" w:w="1757"/>
          </w:tcPr>
          <w:p>
            <w:pPr>
              <w:spacing w:after="0"/>
            </w:pPr>
            <w:r>
              <w:rPr>
                <w:b w:val="0"/>
                <w:sz w:val="19"/>
              </w:rPr>
              <w:t>C</w:t>
            </w:r>
          </w:p>
        </w:tc>
        <w:tc>
          <w:tcPr>
            <w:tcW w:type="dxa" w:w="2914"/>
          </w:tcPr>
          <w:p>
            <w:pPr>
              <w:spacing w:after="0"/>
            </w:pPr>
            <w:r>
              <w:rPr>
                <w:b w:val="0"/>
                <w:sz w:val="19"/>
              </w:rPr>
              <w:t>C/S under a services agreement, with a BAA where PHI travels with specimens</w:t>
            </w:r>
          </w:p>
        </w:tc>
        <w:tc>
          <w:tcPr>
            <w:tcW w:type="dxa" w:w="3827"/>
          </w:tcPr>
          <w:p>
            <w:pPr>
              <w:spacing w:after="0"/>
            </w:pPr>
            <w:r>
              <w:rPr>
                <w:b w:val="0"/>
                <w:sz w:val="19"/>
              </w:rPr>
              <w:t>Sponsor-approved routing; CLIA certificate for the location where results are used for care (SOP-N5 5.8.4)</w:t>
            </w:r>
          </w:p>
        </w:tc>
      </w:tr>
      <w:tr>
        <w:trPr>
          <w:cantSplit w:val="true"/>
        </w:trPr>
        <w:tc>
          <w:tcPr>
            <w:tcW w:type="dxa" w:w="702"/>
          </w:tcPr>
          <w:p>
            <w:pPr>
              <w:spacing w:after="0"/>
            </w:pPr>
            <w:r>
              <w:rPr>
                <w:b w:val="0"/>
                <w:sz w:val="19"/>
              </w:rPr>
              <w:t>B-25</w:t>
            </w:r>
          </w:p>
        </w:tc>
        <w:tc>
          <w:tcPr>
            <w:tcW w:type="dxa" w:w="3608"/>
          </w:tcPr>
          <w:p>
            <w:pPr>
              <w:spacing w:after="0"/>
            </w:pPr>
            <w:r>
              <w:rPr>
                <w:b w:val="0"/>
                <w:sz w:val="19"/>
              </w:rPr>
              <w:t>Equipment and calibration program and vendor contracts</w:t>
            </w:r>
          </w:p>
        </w:tc>
        <w:tc>
          <w:tcPr>
            <w:tcW w:type="dxa" w:w="1013"/>
          </w:tcPr>
          <w:p>
            <w:pPr>
              <w:spacing w:after="0"/>
            </w:pPr>
            <w:r>
              <w:rPr>
                <w:b w:val="0"/>
                <w:sz w:val="19"/>
              </w:rPr>
              <w:t>SOP-11</w:t>
            </w:r>
          </w:p>
        </w:tc>
        <w:tc>
          <w:tcPr>
            <w:tcW w:type="dxa" w:w="1757"/>
          </w:tcPr>
          <w:p>
            <w:pPr>
              <w:spacing w:after="0"/>
            </w:pPr>
            <w:r>
              <w:rPr>
                <w:b w:val="0"/>
                <w:sz w:val="19"/>
              </w:rPr>
              <w:t>C/S: C runs schedule; F-312-01 shows owning site</w:t>
            </w:r>
          </w:p>
        </w:tc>
        <w:tc>
          <w:tcPr>
            <w:tcW w:type="dxa" w:w="2914"/>
          </w:tcPr>
          <w:p>
            <w:pPr>
              <w:spacing w:after="0"/>
            </w:pPr>
            <w:r>
              <w:rPr>
                <w:b w:val="0"/>
                <w:sz w:val="19"/>
              </w:rPr>
              <w:t>S, with network contracts offered</w:t>
            </w:r>
          </w:p>
        </w:tc>
        <w:tc>
          <w:tcPr>
            <w:tcW w:type="dxa" w:w="3827"/>
          </w:tcPr>
          <w:p>
            <w:pPr>
              <w:spacing w:after="0"/>
            </w:pPr>
            <w:r>
              <w:rPr>
                <w:b w:val="0"/>
                <w:sz w:val="19"/>
              </w:rPr>
              <w:t>Written agreement for equipment used across entities</w:t>
            </w:r>
          </w:p>
        </w:tc>
      </w:tr>
      <w:tr>
        <w:trPr>
          <w:cantSplit w:val="true"/>
        </w:trPr>
        <w:tc>
          <w:tcPr>
            <w:tcW w:type="dxa" w:w="702"/>
          </w:tcPr>
          <w:p>
            <w:pPr>
              <w:spacing w:after="0"/>
            </w:pPr>
            <w:r>
              <w:rPr>
                <w:b w:val="0"/>
                <w:sz w:val="19"/>
              </w:rPr>
              <w:t>B-26</w:t>
            </w:r>
          </w:p>
        </w:tc>
        <w:tc>
          <w:tcPr>
            <w:tcW w:type="dxa" w:w="3608"/>
          </w:tcPr>
          <w:p>
            <w:pPr>
              <w:spacing w:after="0"/>
            </w:pPr>
            <w:r>
              <w:rPr>
                <w:b w:val="0"/>
                <w:sz w:val="19"/>
              </w:rPr>
              <w:t>Privacy Officer and privacy program</w:t>
            </w:r>
          </w:p>
        </w:tc>
        <w:tc>
          <w:tcPr>
            <w:tcW w:type="dxa" w:w="1013"/>
          </w:tcPr>
          <w:p>
            <w:pPr>
              <w:spacing w:after="0"/>
            </w:pPr>
            <w:r>
              <w:rPr>
                <w:b w:val="0"/>
                <w:sz w:val="19"/>
              </w:rPr>
              <w:t>SOP-12</w:t>
            </w:r>
          </w:p>
        </w:tc>
        <w:tc>
          <w:tcPr>
            <w:tcW w:type="dxa" w:w="1757"/>
          </w:tcPr>
          <w:p>
            <w:pPr>
              <w:spacing w:after="0"/>
            </w:pPr>
            <w:r>
              <w:rPr>
                <w:b w:val="0"/>
                <w:sz w:val="19"/>
              </w:rPr>
              <w:t>C: one Privacy Officer for the network entity</w:t>
            </w:r>
          </w:p>
        </w:tc>
        <w:tc>
          <w:tcPr>
            <w:tcW w:type="dxa" w:w="2914"/>
          </w:tcPr>
          <w:p>
            <w:pPr>
              <w:spacing w:after="0"/>
            </w:pPr>
            <w:r>
              <w:rPr>
                <w:b w:val="0"/>
                <w:sz w:val="19"/>
              </w:rPr>
              <w:t>S: each covered entity's own Privacy Officer (an ACE may designate one for its members); C supports under a BAA</w:t>
            </w:r>
          </w:p>
        </w:tc>
        <w:tc>
          <w:tcPr>
            <w:tcW w:type="dxa" w:w="3827"/>
          </w:tcPr>
          <w:p>
            <w:pPr>
              <w:spacing w:after="0"/>
            </w:pPr>
            <w:r>
              <w:rPr>
                <w:b w:val="0"/>
                <w:sz w:val="19"/>
              </w:rPr>
              <w:t>Breach decisions per covered entity (SOP-N6 5.8)</w:t>
            </w:r>
          </w:p>
        </w:tc>
      </w:tr>
      <w:tr>
        <w:trPr>
          <w:cantSplit w:val="true"/>
        </w:trPr>
        <w:tc>
          <w:tcPr>
            <w:tcW w:type="dxa" w:w="702"/>
          </w:tcPr>
          <w:p>
            <w:pPr>
              <w:spacing w:after="0"/>
            </w:pPr>
            <w:r>
              <w:rPr>
                <w:b w:val="0"/>
                <w:sz w:val="19"/>
              </w:rPr>
              <w:t>B-27</w:t>
            </w:r>
          </w:p>
        </w:tc>
        <w:tc>
          <w:tcPr>
            <w:tcW w:type="dxa" w:w="3608"/>
          </w:tcPr>
          <w:p>
            <w:pPr>
              <w:spacing w:after="0"/>
            </w:pPr>
            <w:r>
              <w:rPr>
                <w:b w:val="0"/>
                <w:sz w:val="19"/>
              </w:rPr>
              <w:t>Shared systems: inventory, fitness for purpose, access grants and reviews</w:t>
            </w:r>
          </w:p>
        </w:tc>
        <w:tc>
          <w:tcPr>
            <w:tcW w:type="dxa" w:w="1013"/>
          </w:tcPr>
          <w:p>
            <w:pPr>
              <w:spacing w:after="0"/>
            </w:pPr>
            <w:r>
              <w:rPr>
                <w:b w:val="0"/>
                <w:sz w:val="19"/>
              </w:rPr>
              <w:t>SOP-12</w:t>
            </w:r>
          </w:p>
        </w:tc>
        <w:tc>
          <w:tcPr>
            <w:tcW w:type="dxa" w:w="1757"/>
          </w:tcPr>
          <w:p>
            <w:pPr>
              <w:spacing w:after="0"/>
            </w:pPr>
            <w:r>
              <w:rPr>
                <w:b w:val="0"/>
                <w:sz w:val="19"/>
              </w:rPr>
              <w:t>C/S: C grants after Site Director approval</w:t>
            </w:r>
          </w:p>
        </w:tc>
        <w:tc>
          <w:tcPr>
            <w:tcW w:type="dxa" w:w="2914"/>
          </w:tcPr>
          <w:p>
            <w:pPr>
              <w:spacing w:after="0"/>
            </w:pPr>
            <w:r>
              <w:rPr>
                <w:b w:val="0"/>
                <w:sz w:val="19"/>
              </w:rPr>
              <w:t>C/S: same</w:t>
            </w:r>
          </w:p>
        </w:tc>
        <w:tc>
          <w:tcPr>
            <w:tcW w:type="dxa" w:w="3827"/>
          </w:tcPr>
          <w:p>
            <w:pPr>
              <w:spacing w:after="0"/>
            </w:pPr>
            <w:r>
              <w:rPr>
                <w:b w:val="0"/>
                <w:sz w:val="19"/>
              </w:rPr>
              <w:t>Pathway on F-905-01; each entity's own Part 11 letter (SOP-N6 5.2)</w:t>
            </w:r>
          </w:p>
        </w:tc>
      </w:tr>
      <w:tr>
        <w:trPr>
          <w:cantSplit w:val="true"/>
        </w:trPr>
        <w:tc>
          <w:tcPr>
            <w:tcW w:type="dxa" w:w="702"/>
          </w:tcPr>
          <w:p>
            <w:pPr>
              <w:spacing w:after="0"/>
            </w:pPr>
            <w:r>
              <w:rPr>
                <w:b w:val="0"/>
                <w:sz w:val="19"/>
              </w:rPr>
              <w:t>B-28</w:t>
            </w:r>
          </w:p>
        </w:tc>
        <w:tc>
          <w:tcPr>
            <w:tcW w:type="dxa" w:w="3608"/>
          </w:tcPr>
          <w:p>
            <w:pPr>
              <w:spacing w:after="0"/>
            </w:pPr>
            <w:r>
              <w:rPr>
                <w:b w:val="0"/>
                <w:sz w:val="19"/>
              </w:rPr>
              <w:t>Central archive and retrieval</w:t>
            </w:r>
          </w:p>
        </w:tc>
        <w:tc>
          <w:tcPr>
            <w:tcW w:type="dxa" w:w="1013"/>
          </w:tcPr>
          <w:p>
            <w:pPr>
              <w:spacing w:after="0"/>
            </w:pPr>
            <w:r>
              <w:rPr>
                <w:b w:val="0"/>
                <w:sz w:val="19"/>
              </w:rPr>
              <w:t>SOP-12</w:t>
            </w:r>
          </w:p>
        </w:tc>
        <w:tc>
          <w:tcPr>
            <w:tcW w:type="dxa" w:w="1757"/>
          </w:tcPr>
          <w:p>
            <w:pPr>
              <w:spacing w:after="0"/>
            </w:pPr>
            <w:r>
              <w:rPr>
                <w:b w:val="0"/>
                <w:sz w:val="19"/>
              </w:rPr>
              <w:t>C</w:t>
            </w:r>
          </w:p>
        </w:tc>
        <w:tc>
          <w:tcPr>
            <w:tcW w:type="dxa" w:w="2914"/>
          </w:tcPr>
          <w:p>
            <w:pPr>
              <w:spacing w:after="0"/>
            </w:pPr>
            <w:r>
              <w:rPr>
                <w:b w:val="0"/>
                <w:sz w:val="19"/>
              </w:rPr>
              <w:t>C/S under a written custody agreement</w:t>
            </w:r>
          </w:p>
        </w:tc>
        <w:tc>
          <w:tcPr>
            <w:tcW w:type="dxa" w:w="3827"/>
          </w:tcPr>
          <w:p>
            <w:pPr>
              <w:spacing w:after="0"/>
            </w:pPr>
            <w:r>
              <w:rPr>
                <w:b w:val="0"/>
                <w:sz w:val="19"/>
              </w:rPr>
              <w:t>Site approves destruction</w:t>
            </w:r>
          </w:p>
        </w:tc>
      </w:tr>
      <w:tr>
        <w:trPr>
          <w:cantSplit w:val="true"/>
        </w:trPr>
        <w:tc>
          <w:tcPr>
            <w:tcW w:type="dxa" w:w="702"/>
          </w:tcPr>
          <w:p>
            <w:pPr>
              <w:spacing w:after="0"/>
            </w:pPr>
            <w:r>
              <w:rPr>
                <w:b w:val="0"/>
                <w:sz w:val="19"/>
              </w:rPr>
              <w:t>B-29</w:t>
            </w:r>
          </w:p>
        </w:tc>
        <w:tc>
          <w:tcPr>
            <w:tcW w:type="dxa" w:w="3608"/>
          </w:tcPr>
          <w:p>
            <w:pPr>
              <w:spacing w:after="0"/>
            </w:pPr>
            <w:r>
              <w:rPr>
                <w:b w:val="0"/>
                <w:sz w:val="19"/>
              </w:rPr>
              <w:t>Monitoring visit scheduling, follow-up tracking, audit and inspection liaison support</w:t>
            </w:r>
          </w:p>
        </w:tc>
        <w:tc>
          <w:tcPr>
            <w:tcW w:type="dxa" w:w="1013"/>
          </w:tcPr>
          <w:p>
            <w:pPr>
              <w:spacing w:after="0"/>
            </w:pPr>
            <w:r>
              <w:rPr>
                <w:b w:val="0"/>
                <w:sz w:val="19"/>
              </w:rPr>
              <w:t>SOP-13</w:t>
            </w:r>
          </w:p>
        </w:tc>
        <w:tc>
          <w:tcPr>
            <w:tcW w:type="dxa" w:w="1757"/>
          </w:tcPr>
          <w:p>
            <w:pPr>
              <w:spacing w:after="0"/>
            </w:pPr>
            <w:r>
              <w:rPr>
                <w:b w:val="0"/>
                <w:sz w:val="19"/>
              </w:rPr>
              <w:t>C/S: C coordinates and supports; PI answers and signs</w:t>
            </w:r>
          </w:p>
        </w:tc>
        <w:tc>
          <w:tcPr>
            <w:tcW w:type="dxa" w:w="2914"/>
          </w:tcPr>
          <w:p>
            <w:pPr>
              <w:spacing w:after="0"/>
            </w:pPr>
            <w:r>
              <w:rPr>
                <w:b w:val="0"/>
                <w:sz w:val="19"/>
              </w:rPr>
              <w:t>S, with C support as the Site Director agrees</w:t>
            </w:r>
          </w:p>
        </w:tc>
        <w:tc>
          <w:tcPr>
            <w:tcW w:type="dxa" w:w="3827"/>
          </w:tcPr>
          <w:p>
            <w:pPr>
              <w:spacing w:after="0"/>
            </w:pPr>
            <w:r>
              <w:rPr>
                <w:b w:val="0"/>
                <w:sz w:val="19"/>
              </w:rPr>
              <w:t>Site tells the Network Office the same business day</w:t>
            </w:r>
          </w:p>
        </w:tc>
      </w:tr>
      <w:tr>
        <w:trPr>
          <w:cantSplit w:val="true"/>
        </w:trPr>
        <w:tc>
          <w:tcPr>
            <w:tcW w:type="dxa" w:w="702"/>
          </w:tcPr>
          <w:p>
            <w:pPr>
              <w:spacing w:after="0"/>
            </w:pPr>
            <w:r>
              <w:rPr>
                <w:b w:val="0"/>
                <w:sz w:val="19"/>
              </w:rPr>
              <w:t>B-30</w:t>
            </w:r>
          </w:p>
        </w:tc>
        <w:tc>
          <w:tcPr>
            <w:tcW w:type="dxa" w:w="3608"/>
          </w:tcPr>
          <w:p>
            <w:pPr>
              <w:spacing w:after="0"/>
            </w:pPr>
            <w:r>
              <w:rPr>
                <w:b w:val="0"/>
                <w:sz w:val="19"/>
              </w:rPr>
              <w:t>Central QA audits, including the annual internal audit</w:t>
            </w:r>
          </w:p>
        </w:tc>
        <w:tc>
          <w:tcPr>
            <w:tcW w:type="dxa" w:w="1013"/>
          </w:tcPr>
          <w:p>
            <w:pPr>
              <w:spacing w:after="0"/>
            </w:pPr>
            <w:r>
              <w:rPr>
                <w:b w:val="0"/>
                <w:sz w:val="19"/>
              </w:rPr>
              <w:t>SOP-14</w:t>
            </w:r>
          </w:p>
        </w:tc>
        <w:tc>
          <w:tcPr>
            <w:tcW w:type="dxa" w:w="1757"/>
          </w:tcPr>
          <w:p>
            <w:pPr>
              <w:spacing w:after="0"/>
            </w:pPr>
            <w:r>
              <w:rPr>
                <w:b w:val="0"/>
                <w:sz w:val="19"/>
              </w:rPr>
              <w:t>C</w:t>
            </w:r>
          </w:p>
        </w:tc>
        <w:tc>
          <w:tcPr>
            <w:tcW w:type="dxa" w:w="2914"/>
          </w:tcPr>
          <w:p>
            <w:pPr>
              <w:spacing w:after="0"/>
            </w:pPr>
            <w:r>
              <w:rPr>
                <w:b w:val="0"/>
                <w:sz w:val="19"/>
              </w:rPr>
              <w:t>C/S: only as the agreement allows</w:t>
            </w:r>
          </w:p>
        </w:tc>
        <w:tc>
          <w:tcPr>
            <w:tcW w:type="dxa" w:w="3827"/>
          </w:tcPr>
          <w:p>
            <w:pPr>
              <w:spacing w:after="0"/>
            </w:pPr>
            <w:r>
              <w:rPr>
                <w:b w:val="0"/>
                <w:sz w:val="19"/>
              </w:rPr>
              <w:t>Auditor independent of the site (SOP-N4 5.5)</w:t>
            </w:r>
          </w:p>
        </w:tc>
      </w:tr>
      <w:tr>
        <w:trPr>
          <w:cantSplit w:val="true"/>
        </w:trPr>
        <w:tc>
          <w:tcPr>
            <w:tcW w:type="dxa" w:w="702"/>
          </w:tcPr>
          <w:p>
            <w:pPr>
              <w:spacing w:after="0"/>
            </w:pPr>
            <w:r>
              <w:rPr>
                <w:b w:val="0"/>
                <w:sz w:val="19"/>
              </w:rPr>
              <w:t>B-31</w:t>
            </w:r>
          </w:p>
        </w:tc>
        <w:tc>
          <w:tcPr>
            <w:tcW w:type="dxa" w:w="3608"/>
          </w:tcPr>
          <w:p>
            <w:pPr>
              <w:spacing w:after="0"/>
            </w:pPr>
            <w:r>
              <w:rPr>
                <w:b w:val="0"/>
                <w:sz w:val="19"/>
              </w:rPr>
              <w:t>Quarterly scorecard and network metrics</w:t>
            </w:r>
          </w:p>
        </w:tc>
        <w:tc>
          <w:tcPr>
            <w:tcW w:type="dxa" w:w="1013"/>
          </w:tcPr>
          <w:p>
            <w:pPr>
              <w:spacing w:after="0"/>
            </w:pPr>
            <w:r>
              <w:rPr>
                <w:b w:val="0"/>
                <w:sz w:val="19"/>
              </w:rPr>
              <w:t>SOP-14</w:t>
            </w:r>
          </w:p>
        </w:tc>
        <w:tc>
          <w:tcPr>
            <w:tcW w:type="dxa" w:w="1757"/>
          </w:tcPr>
          <w:p>
            <w:pPr>
              <w:spacing w:after="0"/>
            </w:pPr>
            <w:r>
              <w:rPr>
                <w:b w:val="0"/>
                <w:sz w:val="19"/>
              </w:rPr>
              <w:t>C</w:t>
            </w:r>
          </w:p>
        </w:tc>
        <w:tc>
          <w:tcPr>
            <w:tcW w:type="dxa" w:w="2914"/>
          </w:tcPr>
          <w:p>
            <w:pPr>
              <w:spacing w:after="0"/>
            </w:pPr>
            <w:r>
              <w:rPr>
                <w:b w:val="0"/>
                <w:sz w:val="19"/>
              </w:rPr>
              <w:t>C/S: S submits data</w:t>
            </w:r>
          </w:p>
        </w:tc>
        <w:tc>
          <w:tcPr>
            <w:tcW w:type="dxa" w:w="3827"/>
          </w:tcPr>
          <w:p>
            <w:pPr>
              <w:spacing w:after="0"/>
            </w:pPr>
            <w:r>
              <w:rPr>
                <w:b w:val="0"/>
                <w:sz w:val="19"/>
              </w:rPr>
              <w:t>Data cross only as listed on F-905-01 (SOP-N4 5.3)</w:t>
            </w:r>
          </w:p>
        </w:tc>
      </w:tr>
      <w:tr>
        <w:trPr>
          <w:cantSplit w:val="true"/>
        </w:trPr>
        <w:tc>
          <w:tcPr>
            <w:tcW w:type="dxa" w:w="702"/>
          </w:tcPr>
          <w:p>
            <w:pPr>
              <w:spacing w:after="0"/>
            </w:pPr>
            <w:r>
              <w:rPr>
                <w:b w:val="0"/>
                <w:sz w:val="19"/>
              </w:rPr>
              <w:t>B-32</w:t>
            </w:r>
          </w:p>
        </w:tc>
        <w:tc>
          <w:tcPr>
            <w:tcW w:type="dxa" w:w="3608"/>
          </w:tcPr>
          <w:p>
            <w:pPr>
              <w:spacing w:after="0"/>
            </w:pPr>
            <w:r>
              <w:rPr>
                <w:b w:val="0"/>
                <w:sz w:val="19"/>
              </w:rPr>
              <w:t>Financial closeout and reconciliation</w:t>
            </w:r>
          </w:p>
        </w:tc>
        <w:tc>
          <w:tcPr>
            <w:tcW w:type="dxa" w:w="1013"/>
          </w:tcPr>
          <w:p>
            <w:pPr>
              <w:spacing w:after="0"/>
            </w:pPr>
            <w:r>
              <w:rPr>
                <w:b w:val="0"/>
                <w:sz w:val="19"/>
              </w:rPr>
              <w:t>SOP-15</w:t>
            </w:r>
          </w:p>
        </w:tc>
        <w:tc>
          <w:tcPr>
            <w:tcW w:type="dxa" w:w="1757"/>
          </w:tcPr>
          <w:p>
            <w:pPr>
              <w:spacing w:after="0"/>
            </w:pPr>
            <w:r>
              <w:rPr>
                <w:b w:val="0"/>
                <w:sz w:val="19"/>
              </w:rPr>
              <w:t>C</w:t>
            </w:r>
          </w:p>
        </w:tc>
        <w:tc>
          <w:tcPr>
            <w:tcW w:type="dxa" w:w="2914"/>
          </w:tcPr>
          <w:p>
            <w:pPr>
              <w:spacing w:after="0"/>
            </w:pPr>
            <w:r>
              <w:rPr>
                <w:b w:val="0"/>
                <w:sz w:val="19"/>
              </w:rPr>
              <w:t>C/S: payee named in the CTA reconciles</w:t>
            </w:r>
          </w:p>
        </w:tc>
        <w:tc>
          <w:tcPr>
            <w:tcW w:type="dxa" w:w="3827"/>
          </w:tcPr>
          <w:p>
            <w:pPr>
              <w:spacing w:after="0"/>
            </w:pPr>
            <w:r>
              <w:rPr>
                <w:b w:val="0"/>
                <w:sz w:val="19"/>
              </w:rPr>
              <w:t>Network Office fee only as set in the agreement (SOP-N3 5.7.4)</w:t>
            </w:r>
          </w:p>
        </w:tc>
      </w:tr>
      <w:tr>
        <w:trPr>
          <w:cantSplit w:val="true"/>
        </w:trPr>
        <w:tc>
          <w:tcPr>
            <w:tcW w:type="dxa" w:w="702"/>
          </w:tcPr>
          <w:p>
            <w:pPr>
              <w:spacing w:after="0"/>
            </w:pPr>
            <w:r>
              <w:rPr>
                <w:b w:val="0"/>
                <w:sz w:val="19"/>
              </w:rPr>
              <w:t>B-33</w:t>
            </w:r>
          </w:p>
        </w:tc>
        <w:tc>
          <w:tcPr>
            <w:tcW w:type="dxa" w:w="3608"/>
          </w:tcPr>
          <w:p>
            <w:pPr>
              <w:spacing w:after="0"/>
            </w:pPr>
            <w:r>
              <w:rPr>
                <w:b w:val="0"/>
                <w:sz w:val="19"/>
              </w:rPr>
              <w:t>Network continuity plan, coverage roster, backup storage at another site</w:t>
            </w:r>
          </w:p>
        </w:tc>
        <w:tc>
          <w:tcPr>
            <w:tcW w:type="dxa" w:w="1013"/>
          </w:tcPr>
          <w:p>
            <w:pPr>
              <w:spacing w:after="0"/>
            </w:pPr>
            <w:r>
              <w:rPr>
                <w:b w:val="0"/>
                <w:sz w:val="19"/>
              </w:rPr>
              <w:t>SOP-16</w:t>
            </w:r>
          </w:p>
        </w:tc>
        <w:tc>
          <w:tcPr>
            <w:tcW w:type="dxa" w:w="1757"/>
          </w:tcPr>
          <w:p>
            <w:pPr>
              <w:spacing w:after="0"/>
            </w:pPr>
            <w:r>
              <w:rPr>
                <w:b w:val="0"/>
                <w:sz w:val="19"/>
              </w:rPr>
              <w:t>C/S: C keeps network plan and roster; S keeps F-705-01</w:t>
            </w:r>
          </w:p>
        </w:tc>
        <w:tc>
          <w:tcPr>
            <w:tcW w:type="dxa" w:w="2914"/>
          </w:tcPr>
          <w:p>
            <w:pPr>
              <w:spacing w:after="0"/>
            </w:pPr>
            <w:r>
              <w:rPr>
                <w:b w:val="0"/>
                <w:sz w:val="19"/>
              </w:rPr>
              <w:t>C/S: same</w:t>
            </w:r>
          </w:p>
        </w:tc>
        <w:tc>
          <w:tcPr>
            <w:tcW w:type="dxa" w:w="3827"/>
          </w:tcPr>
          <w:p>
            <w:pPr>
              <w:spacing w:after="0"/>
            </w:pPr>
            <w:r>
              <w:rPr>
                <w:b w:val="0"/>
                <w:sz w:val="19"/>
              </w:rPr>
              <w:t>Backup storage needs sponsor approval; written agreement between entities</w:t>
            </w:r>
          </w:p>
        </w:tc>
      </w:tr>
      <w:tr>
        <w:trPr>
          <w:cantSplit w:val="true"/>
        </w:trPr>
        <w:tc>
          <w:tcPr>
            <w:tcW w:type="dxa" w:w="702"/>
          </w:tcPr>
          <w:p>
            <w:pPr>
              <w:spacing w:after="0"/>
            </w:pPr>
            <w:r>
              <w:rPr>
                <w:b w:val="0"/>
                <w:sz w:val="19"/>
              </w:rPr>
              <w:t>B-34</w:t>
            </w:r>
          </w:p>
        </w:tc>
        <w:tc>
          <w:tcPr>
            <w:tcW w:type="dxa" w:w="3608"/>
          </w:tcPr>
          <w:p>
            <w:pPr>
              <w:spacing w:after="0"/>
            </w:pPr>
            <w:r>
              <w:rPr>
                <w:b w:val="0"/>
                <w:sz w:val="19"/>
              </w:rPr>
              <w:t>Qualify vendors once for the network; record central services as providers</w:t>
            </w:r>
          </w:p>
        </w:tc>
        <w:tc>
          <w:tcPr>
            <w:tcW w:type="dxa" w:w="1013"/>
          </w:tcPr>
          <w:p>
            <w:pPr>
              <w:spacing w:after="0"/>
            </w:pPr>
            <w:r>
              <w:rPr>
                <w:b w:val="0"/>
                <w:sz w:val="19"/>
              </w:rPr>
              <w:t>SOP-M1</w:t>
            </w:r>
          </w:p>
        </w:tc>
        <w:tc>
          <w:tcPr>
            <w:tcW w:type="dxa" w:w="1757"/>
          </w:tcPr>
          <w:p>
            <w:pPr>
              <w:spacing w:after="0"/>
            </w:pPr>
            <w:r>
              <w:rPr>
                <w:b w:val="0"/>
                <w:sz w:val="19"/>
              </w:rPr>
              <w:t>C</w:t>
            </w:r>
          </w:p>
        </w:tc>
        <w:tc>
          <w:tcPr>
            <w:tcW w:type="dxa" w:w="2914"/>
          </w:tcPr>
          <w:p>
            <w:pPr>
              <w:spacing w:after="0"/>
            </w:pPr>
            <w:r>
              <w:rPr>
                <w:b w:val="0"/>
                <w:sz w:val="19"/>
              </w:rPr>
              <w:t>C/S: S may rely where the agreement allows</w:t>
            </w:r>
          </w:p>
        </w:tc>
        <w:tc>
          <w:tcPr>
            <w:tcW w:type="dxa" w:w="3827"/>
          </w:tcPr>
          <w:p>
            <w:pPr>
              <w:spacing w:after="0"/>
            </w:pPr>
            <w:r>
              <w:rPr>
                <w:b w:val="0"/>
                <w:sz w:val="19"/>
              </w:rPr>
              <w:t>PI approves use for each study; business associate chain in place</w:t>
            </w:r>
          </w:p>
        </w:tc>
      </w:tr>
      <w:tr>
        <w:trPr>
          <w:cantSplit w:val="true"/>
        </w:trPr>
        <w:tc>
          <w:tcPr>
            <w:tcW w:type="dxa" w:w="702"/>
          </w:tcPr>
          <w:p>
            <w:pPr>
              <w:spacing w:after="0"/>
            </w:pPr>
            <w:r>
              <w:rPr>
                <w:b w:val="0"/>
                <w:sz w:val="19"/>
              </w:rPr>
              <w:t>B-35</w:t>
            </w:r>
          </w:p>
        </w:tc>
        <w:tc>
          <w:tcPr>
            <w:tcW w:type="dxa" w:w="3608"/>
          </w:tcPr>
          <w:p>
            <w:pPr>
              <w:spacing w:after="0"/>
            </w:pPr>
            <w:r>
              <w:rPr>
                <w:b w:val="0"/>
                <w:sz w:val="19"/>
              </w:rPr>
              <w:t>Central intake, CDAs, network feasibility response and allocation</w:t>
            </w:r>
          </w:p>
        </w:tc>
        <w:tc>
          <w:tcPr>
            <w:tcW w:type="dxa" w:w="1013"/>
          </w:tcPr>
          <w:p>
            <w:pPr>
              <w:spacing w:after="0"/>
            </w:pPr>
            <w:r>
              <w:rPr>
                <w:b w:val="0"/>
                <w:sz w:val="19"/>
              </w:rPr>
              <w:t>SOP-M2</w:t>
            </w:r>
          </w:p>
        </w:tc>
        <w:tc>
          <w:tcPr>
            <w:tcW w:type="dxa" w:w="1757"/>
          </w:tcPr>
          <w:p>
            <w:pPr>
              <w:spacing w:after="0"/>
            </w:pPr>
            <w:r>
              <w:rPr>
                <w:b w:val="0"/>
                <w:sz w:val="19"/>
              </w:rPr>
              <w:t>C</w:t>
            </w:r>
          </w:p>
        </w:tc>
        <w:tc>
          <w:tcPr>
            <w:tcW w:type="dxa" w:w="2914"/>
          </w:tcPr>
          <w:p>
            <w:pPr>
              <w:spacing w:after="0"/>
            </w:pPr>
            <w:r>
              <w:rPr>
                <w:b w:val="0"/>
                <w:sz w:val="19"/>
              </w:rPr>
              <w:t>C</w:t>
            </w:r>
          </w:p>
        </w:tc>
        <w:tc>
          <w:tcPr>
            <w:tcW w:type="dxa" w:w="3827"/>
          </w:tcPr>
          <w:p>
            <w:pPr>
              <w:spacing w:after="0"/>
            </w:pPr>
            <w:r>
              <w:rPr>
                <w:b w:val="0"/>
                <w:sz w:val="19"/>
              </w:rPr>
              <w:t>CDA permits disclosure or the entity signs a joinder; Network Office never raises a site estimate (SOP-N3 5.2, 5.3)</w:t>
            </w:r>
          </w:p>
        </w:tc>
      </w:tr>
      <w:tr>
        <w:trPr>
          <w:cantSplit w:val="true"/>
        </w:trPr>
        <w:tc>
          <w:tcPr>
            <w:tcW w:type="dxa" w:w="702"/>
          </w:tcPr>
          <w:p>
            <w:pPr>
              <w:spacing w:after="0"/>
            </w:pPr>
            <w:r>
              <w:rPr>
                <w:b w:val="0"/>
                <w:sz w:val="19"/>
              </w:rPr>
              <w:t>B-36</w:t>
            </w:r>
          </w:p>
        </w:tc>
        <w:tc>
          <w:tcPr>
            <w:tcW w:type="dxa" w:w="3608"/>
          </w:tcPr>
          <w:p>
            <w:pPr>
              <w:spacing w:after="0"/>
            </w:pPr>
            <w:r>
              <w:rPr>
                <w:b w:val="0"/>
                <w:sz w:val="19"/>
              </w:rPr>
              <w:t>Negotiate CTAs, master agreements and budget exhibits</w:t>
            </w:r>
          </w:p>
        </w:tc>
        <w:tc>
          <w:tcPr>
            <w:tcW w:type="dxa" w:w="1013"/>
          </w:tcPr>
          <w:p>
            <w:pPr>
              <w:spacing w:after="0"/>
            </w:pPr>
            <w:r>
              <w:rPr>
                <w:b w:val="0"/>
                <w:sz w:val="19"/>
              </w:rPr>
              <w:t>SOP-M2</w:t>
            </w:r>
          </w:p>
        </w:tc>
        <w:tc>
          <w:tcPr>
            <w:tcW w:type="dxa" w:w="1757"/>
          </w:tcPr>
          <w:p>
            <w:pPr>
              <w:spacing w:after="0"/>
            </w:pPr>
            <w:r>
              <w:rPr>
                <w:b w:val="0"/>
                <w:sz w:val="19"/>
              </w:rPr>
              <w:t>C</w:t>
            </w:r>
          </w:p>
        </w:tc>
        <w:tc>
          <w:tcPr>
            <w:tcW w:type="dxa" w:w="2914"/>
          </w:tcPr>
          <w:p>
            <w:pPr>
              <w:spacing w:after="0"/>
            </w:pPr>
            <w:r>
              <w:rPr>
                <w:b w:val="0"/>
                <w:sz w:val="19"/>
              </w:rPr>
              <w:t>C/S: C negotiates; S approves its budget exhibit</w:t>
            </w:r>
          </w:p>
        </w:tc>
        <w:tc>
          <w:tcPr>
            <w:tcW w:type="dxa" w:w="3827"/>
          </w:tcPr>
          <w:p>
            <w:pPr>
              <w:spacing w:after="0"/>
            </w:pPr>
            <w:r>
              <w:rPr>
                <w:b w:val="0"/>
                <w:sz w:val="19"/>
              </w:rPr>
              <w:t>Site Director approves each site budget</w:t>
            </w:r>
          </w:p>
        </w:tc>
      </w:tr>
      <w:tr>
        <w:trPr>
          <w:cantSplit w:val="true"/>
        </w:trPr>
        <w:tc>
          <w:tcPr>
            <w:tcW w:type="dxa" w:w="702"/>
          </w:tcPr>
          <w:p>
            <w:pPr>
              <w:spacing w:after="0"/>
            </w:pPr>
            <w:r>
              <w:rPr>
                <w:b w:val="0"/>
                <w:sz w:val="19"/>
              </w:rPr>
              <w:t>B-37</w:t>
            </w:r>
          </w:p>
        </w:tc>
        <w:tc>
          <w:tcPr>
            <w:tcW w:type="dxa" w:w="3608"/>
          </w:tcPr>
          <w:p>
            <w:pPr>
              <w:spacing w:after="0"/>
            </w:pPr>
            <w:r>
              <w:rPr>
                <w:b w:val="0"/>
                <w:sz w:val="19"/>
              </w:rPr>
              <w:t>Sign CTAs</w:t>
            </w:r>
          </w:p>
        </w:tc>
        <w:tc>
          <w:tcPr>
            <w:tcW w:type="dxa" w:w="1013"/>
          </w:tcPr>
          <w:p>
            <w:pPr>
              <w:spacing w:after="0"/>
            </w:pPr>
            <w:r>
              <w:rPr>
                <w:b w:val="0"/>
                <w:sz w:val="19"/>
              </w:rPr>
              <w:t>SOP-M2</w:t>
            </w:r>
          </w:p>
        </w:tc>
        <w:tc>
          <w:tcPr>
            <w:tcW w:type="dxa" w:w="1757"/>
          </w:tcPr>
          <w:p>
            <w:pPr>
              <w:spacing w:after="0"/>
            </w:pPr>
            <w:r>
              <w:rPr>
                <w:b w:val="0"/>
                <w:sz w:val="19"/>
              </w:rPr>
              <w:t>C</w:t>
            </w:r>
          </w:p>
        </w:tc>
        <w:tc>
          <w:tcPr>
            <w:tcW w:type="dxa" w:w="2914"/>
          </w:tcPr>
          <w:p>
            <w:pPr>
              <w:spacing w:after="0"/>
            </w:pPr>
            <w:r>
              <w:rPr>
                <w:b w:val="0"/>
                <w:sz w:val="19"/>
              </w:rPr>
              <w:t>S, tri-party, or C signs as the entity's agent under written authority in the network agreement</w:t>
            </w:r>
          </w:p>
        </w:tc>
        <w:tc>
          <w:tcPr>
            <w:tcW w:type="dxa" w:w="3827"/>
          </w:tcPr>
          <w:p>
            <w:pPr>
              <w:spacing w:after="0"/>
            </w:pPr>
            <w:r>
              <w:rPr>
                <w:b w:val="0"/>
                <w:sz w:val="19"/>
              </w:rPr>
              <w:t>Network entity signs alone only where the agreement and sponsor accept it and counsel confirms (SOP-N3 5.5.2)</w:t>
            </w:r>
          </w:p>
        </w:tc>
      </w:tr>
      <w:tr>
        <w:trPr>
          <w:cantSplit w:val="true"/>
        </w:trPr>
        <w:tc>
          <w:tcPr>
            <w:tcW w:type="dxa" w:w="702"/>
          </w:tcPr>
          <w:p>
            <w:pPr>
              <w:spacing w:after="0"/>
            </w:pPr>
            <w:r>
              <w:rPr>
                <w:b w:val="0"/>
                <w:sz w:val="19"/>
              </w:rPr>
              <w:t>B-38</w:t>
            </w:r>
          </w:p>
        </w:tc>
        <w:tc>
          <w:tcPr>
            <w:tcW w:type="dxa" w:w="3608"/>
          </w:tcPr>
          <w:p>
            <w:pPr>
              <w:spacing w:after="0"/>
            </w:pPr>
            <w:r>
              <w:rPr>
                <w:b w:val="0"/>
                <w:sz w:val="19"/>
              </w:rPr>
              <w:t>Coverage analysis and research claim review</w:t>
            </w:r>
          </w:p>
        </w:tc>
        <w:tc>
          <w:tcPr>
            <w:tcW w:type="dxa" w:w="1013"/>
          </w:tcPr>
          <w:p>
            <w:pPr>
              <w:spacing w:after="0"/>
            </w:pPr>
            <w:r>
              <w:rPr>
                <w:b w:val="0"/>
                <w:sz w:val="19"/>
              </w:rPr>
              <w:t>SOP-M2</w:t>
            </w:r>
          </w:p>
        </w:tc>
        <w:tc>
          <w:tcPr>
            <w:tcW w:type="dxa" w:w="1757"/>
          </w:tcPr>
          <w:p>
            <w:pPr>
              <w:spacing w:after="0"/>
            </w:pPr>
            <w:r>
              <w:rPr>
                <w:b w:val="0"/>
                <w:sz w:val="19"/>
              </w:rPr>
              <w:t>C/S: C prepares; billing entity decides billing and localizes</w:t>
            </w:r>
          </w:p>
        </w:tc>
        <w:tc>
          <w:tcPr>
            <w:tcW w:type="dxa" w:w="2914"/>
          </w:tcPr>
          <w:p>
            <w:pPr>
              <w:spacing w:after="0"/>
            </w:pPr>
            <w:r>
              <w:rPr>
                <w:b w:val="0"/>
                <w:sz w:val="19"/>
              </w:rPr>
              <w:t>C/S: same</w:t>
            </w:r>
          </w:p>
        </w:tc>
        <w:tc>
          <w:tcPr>
            <w:tcW w:type="dxa" w:w="3827"/>
          </w:tcPr>
          <w:p>
            <w:pPr>
              <w:spacing w:after="0"/>
            </w:pPr>
            <w:r>
              <w:rPr>
                <w:b w:val="0"/>
                <w:sz w:val="19"/>
              </w:rPr>
              <w:t>Central claim review of a separate entity only under a BAA and F-905-01</w:t>
            </w:r>
          </w:p>
        </w:tc>
      </w:tr>
      <w:tr>
        <w:trPr>
          <w:cantSplit w:val="true"/>
        </w:trPr>
        <w:tc>
          <w:tcPr>
            <w:tcW w:type="dxa" w:w="702"/>
          </w:tcPr>
          <w:p>
            <w:pPr>
              <w:spacing w:after="0"/>
            </w:pPr>
            <w:r>
              <w:rPr>
                <w:b w:val="0"/>
                <w:sz w:val="19"/>
              </w:rPr>
              <w:t>B-39</w:t>
            </w:r>
          </w:p>
        </w:tc>
        <w:tc>
          <w:tcPr>
            <w:tcW w:type="dxa" w:w="3608"/>
          </w:tcPr>
          <w:p>
            <w:pPr>
              <w:spacing w:after="0"/>
            </w:pPr>
            <w:r>
              <w:rPr>
                <w:b w:val="0"/>
                <w:sz w:val="19"/>
              </w:rPr>
              <w:t>Invoicing, collection and payment of member entities</w:t>
            </w:r>
          </w:p>
        </w:tc>
        <w:tc>
          <w:tcPr>
            <w:tcW w:type="dxa" w:w="1013"/>
          </w:tcPr>
          <w:p>
            <w:pPr>
              <w:spacing w:after="0"/>
            </w:pPr>
            <w:r>
              <w:rPr>
                <w:b w:val="0"/>
                <w:sz w:val="19"/>
              </w:rPr>
              <w:t>SOP-M2</w:t>
            </w:r>
          </w:p>
        </w:tc>
        <w:tc>
          <w:tcPr>
            <w:tcW w:type="dxa" w:w="1757"/>
          </w:tcPr>
          <w:p>
            <w:pPr>
              <w:spacing w:after="0"/>
            </w:pPr>
            <w:r>
              <w:rPr>
                <w:b w:val="0"/>
                <w:sz w:val="19"/>
              </w:rPr>
              <w:t>C</w:t>
            </w:r>
          </w:p>
        </w:tc>
        <w:tc>
          <w:tcPr>
            <w:tcW w:type="dxa" w:w="2914"/>
          </w:tcPr>
          <w:p>
            <w:pPr>
              <w:spacing w:after="0"/>
            </w:pPr>
            <w:r>
              <w:rPr>
                <w:b w:val="0"/>
                <w:sz w:val="19"/>
              </w:rPr>
              <w:t>C/S: payee named in the CTA invoices; C pays share under the agreement</w:t>
            </w:r>
          </w:p>
        </w:tc>
        <w:tc>
          <w:tcPr>
            <w:tcW w:type="dxa" w:w="3827"/>
          </w:tcPr>
          <w:p>
            <w:pPr>
              <w:spacing w:after="0"/>
            </w:pPr>
            <w:r>
              <w:rPr>
                <w:b w:val="0"/>
                <w:sz w:val="19"/>
              </w:rPr>
              <w:t>Counsel review under SOP-N3 5.7.3</w:t>
            </w:r>
          </w:p>
        </w:tc>
      </w:tr>
      <w:tr>
        <w:trPr>
          <w:cantSplit w:val="true"/>
        </w:trPr>
        <w:tc>
          <w:tcPr>
            <w:tcW w:type="dxa" w:w="702"/>
          </w:tcPr>
          <w:p>
            <w:pPr>
              <w:spacing w:after="0"/>
            </w:pPr>
            <w:r>
              <w:rPr>
                <w:b w:val="0"/>
                <w:sz w:val="19"/>
              </w:rPr>
              <w:t>B-40</w:t>
            </w:r>
          </w:p>
        </w:tc>
        <w:tc>
          <w:tcPr>
            <w:tcW w:type="dxa" w:w="3608"/>
          </w:tcPr>
          <w:p>
            <w:pPr>
              <w:spacing w:after="0"/>
            </w:pPr>
            <w:r>
              <w:rPr>
                <w:b w:val="0"/>
                <w:sz w:val="19"/>
              </w:rPr>
              <w:t>Network advertising and volunteer database</w:t>
            </w:r>
          </w:p>
        </w:tc>
        <w:tc>
          <w:tcPr>
            <w:tcW w:type="dxa" w:w="1013"/>
          </w:tcPr>
          <w:p>
            <w:pPr>
              <w:spacing w:after="0"/>
            </w:pPr>
            <w:r>
              <w:rPr>
                <w:b w:val="0"/>
                <w:sz w:val="19"/>
              </w:rPr>
              <w:t>SOP-M3</w:t>
            </w:r>
          </w:p>
        </w:tc>
        <w:tc>
          <w:tcPr>
            <w:tcW w:type="dxa" w:w="1757"/>
          </w:tcPr>
          <w:p>
            <w:pPr>
              <w:spacing w:after="0"/>
            </w:pPr>
            <w:r>
              <w:rPr>
                <w:b w:val="0"/>
                <w:sz w:val="19"/>
              </w:rPr>
              <w:t>C</w:t>
            </w:r>
          </w:p>
        </w:tc>
        <w:tc>
          <w:tcPr>
            <w:tcW w:type="dxa" w:w="2914"/>
          </w:tcPr>
          <w:p>
            <w:pPr>
              <w:spacing w:after="0"/>
            </w:pPr>
            <w:r>
              <w:rPr>
                <w:b w:val="0"/>
                <w:sz w:val="19"/>
              </w:rPr>
              <w:t>C/S: entries only with agreement or authorization naming the network</w:t>
            </w:r>
          </w:p>
        </w:tc>
        <w:tc>
          <w:tcPr>
            <w:tcW w:type="dxa" w:w="3827"/>
          </w:tcPr>
          <w:p>
            <w:pPr>
              <w:spacing w:after="0"/>
            </w:pPr>
            <w:r>
              <w:rPr>
                <w:b w:val="0"/>
                <w:sz w:val="19"/>
              </w:rPr>
              <w:t>Each material IRB-approved for every site it names (SOP-N6 5.5.3)</w:t>
            </w:r>
          </w:p>
        </w:tc>
      </w:tr>
      <w:tr>
        <w:trPr>
          <w:cantSplit w:val="true"/>
        </w:trPr>
        <w:tc>
          <w:tcPr>
            <w:tcW w:type="dxa" w:w="702"/>
          </w:tcPr>
          <w:p>
            <w:pPr>
              <w:spacing w:after="0"/>
            </w:pPr>
            <w:r>
              <w:rPr>
                <w:b w:val="0"/>
                <w:sz w:val="19"/>
              </w:rPr>
              <w:t>B-41</w:t>
            </w:r>
          </w:p>
        </w:tc>
        <w:tc>
          <w:tcPr>
            <w:tcW w:type="dxa" w:w="3608"/>
          </w:tcPr>
          <w:p>
            <w:pPr>
              <w:spacing w:after="0"/>
            </w:pPr>
            <w:r>
              <w:rPr>
                <w:b w:val="0"/>
                <w:sz w:val="19"/>
              </w:rPr>
              <w:t>Home health, telehealth service and licensure register</w:t>
            </w:r>
          </w:p>
        </w:tc>
        <w:tc>
          <w:tcPr>
            <w:tcW w:type="dxa" w:w="1013"/>
          </w:tcPr>
          <w:p>
            <w:pPr>
              <w:spacing w:after="0"/>
            </w:pPr>
            <w:r>
              <w:rPr>
                <w:b w:val="0"/>
                <w:sz w:val="19"/>
              </w:rPr>
              <w:t>SOP-M4</w:t>
            </w:r>
          </w:p>
        </w:tc>
        <w:tc>
          <w:tcPr>
            <w:tcW w:type="dxa" w:w="1757"/>
          </w:tcPr>
          <w:p>
            <w:pPr>
              <w:spacing w:after="0"/>
            </w:pPr>
            <w:r>
              <w:rPr>
                <w:b w:val="0"/>
                <w:sz w:val="19"/>
              </w:rPr>
              <w:t>C</w:t>
            </w:r>
          </w:p>
        </w:tc>
        <w:tc>
          <w:tcPr>
            <w:tcW w:type="dxa" w:w="2914"/>
          </w:tcPr>
          <w:p>
            <w:pPr>
              <w:spacing w:after="0"/>
            </w:pPr>
            <w:r>
              <w:rPr>
                <w:b w:val="0"/>
                <w:sz w:val="19"/>
              </w:rPr>
              <w:t>C/S under a staffing or services agreement and a BAA (F-905-01)</w:t>
            </w:r>
          </w:p>
        </w:tc>
        <w:tc>
          <w:tcPr>
            <w:tcW w:type="dxa" w:w="3827"/>
          </w:tcPr>
          <w:p>
            <w:pPr>
              <w:spacing w:after="0"/>
            </w:pPr>
            <w:r>
              <w:rPr>
                <w:b w:val="0"/>
                <w:sz w:val="19"/>
              </w:rPr>
              <w:t>Staff delegated per site; licensed where the participant is</w:t>
            </w:r>
          </w:p>
        </w:tc>
      </w:tr>
      <w:tr>
        <w:trPr>
          <w:cantSplit w:val="true"/>
        </w:trPr>
        <w:tc>
          <w:tcPr>
            <w:tcW w:type="dxa" w:w="702"/>
          </w:tcPr>
          <w:p>
            <w:pPr>
              <w:spacing w:after="0"/>
            </w:pPr>
            <w:r>
              <w:rPr>
                <w:b w:val="0"/>
                <w:sz w:val="19"/>
              </w:rPr>
              <w:t>B-42</w:t>
            </w:r>
          </w:p>
        </w:tc>
        <w:tc>
          <w:tcPr>
            <w:tcW w:type="dxa" w:w="3608"/>
          </w:tcPr>
          <w:p>
            <w:pPr>
              <w:spacing w:after="0"/>
            </w:pPr>
            <w:r>
              <w:rPr>
                <w:b w:val="0"/>
                <w:sz w:val="19"/>
              </w:rPr>
              <w:t>Integrity reporting channel and investigations</w:t>
            </w:r>
          </w:p>
        </w:tc>
        <w:tc>
          <w:tcPr>
            <w:tcW w:type="dxa" w:w="1013"/>
          </w:tcPr>
          <w:p>
            <w:pPr>
              <w:spacing w:after="0"/>
            </w:pPr>
            <w:r>
              <w:rPr>
                <w:b w:val="0"/>
                <w:sz w:val="19"/>
              </w:rPr>
              <w:t>SOP-M5</w:t>
            </w:r>
          </w:p>
        </w:tc>
        <w:tc>
          <w:tcPr>
            <w:tcW w:type="dxa" w:w="1757"/>
          </w:tcPr>
          <w:p>
            <w:pPr>
              <w:spacing w:after="0"/>
            </w:pPr>
            <w:r>
              <w:rPr>
                <w:b w:val="0"/>
                <w:sz w:val="19"/>
              </w:rPr>
              <w:t>C</w:t>
            </w:r>
          </w:p>
        </w:tc>
        <w:tc>
          <w:tcPr>
            <w:tcW w:type="dxa" w:w="2914"/>
          </w:tcPr>
          <w:p>
            <w:pPr>
              <w:spacing w:after="0"/>
            </w:pPr>
            <w:r>
              <w:rPr>
                <w:b w:val="0"/>
                <w:sz w:val="19"/>
              </w:rPr>
              <w:t>C/S: network channel added to the entity route</w:t>
            </w:r>
          </w:p>
        </w:tc>
        <w:tc>
          <w:tcPr>
            <w:tcW w:type="dxa" w:w="3827"/>
          </w:tcPr>
          <w:p>
            <w:pPr>
              <w:spacing w:after="0"/>
            </w:pPr>
            <w:r>
              <w:rPr>
                <w:b w:val="0"/>
                <w:sz w:val="19"/>
              </w:rPr>
              <w:t>Investigations of a separate entity only as the agreement allows</w:t>
            </w:r>
          </w:p>
        </w:tc>
      </w:tr>
      <w:tr>
        <w:trPr>
          <w:cantSplit w:val="true"/>
        </w:trPr>
        <w:tc>
          <w:tcPr>
            <w:tcW w:type="dxa" w:w="702"/>
          </w:tcPr>
          <w:p>
            <w:pPr>
              <w:spacing w:after="0"/>
            </w:pPr>
            <w:r>
              <w:rPr>
                <w:b w:val="0"/>
                <w:sz w:val="19"/>
              </w:rPr>
              <w:t>B-43</w:t>
            </w:r>
          </w:p>
        </w:tc>
        <w:tc>
          <w:tcPr>
            <w:tcW w:type="dxa" w:w="3608"/>
          </w:tcPr>
          <w:p>
            <w:pPr>
              <w:spacing w:after="0"/>
            </w:pPr>
            <w:r>
              <w:rPr>
                <w:b w:val="0"/>
                <w:sz w:val="19"/>
              </w:rPr>
              <w:t>IND or IDE holder and sponsor tasks for a multi-site sponsor-investigator study</w:t>
            </w:r>
          </w:p>
        </w:tc>
        <w:tc>
          <w:tcPr>
            <w:tcW w:type="dxa" w:w="1013"/>
          </w:tcPr>
          <w:p>
            <w:pPr>
              <w:spacing w:after="0"/>
            </w:pPr>
            <w:r>
              <w:rPr>
                <w:b w:val="0"/>
                <w:sz w:val="19"/>
              </w:rPr>
              <w:t>SOP-M6</w:t>
            </w:r>
          </w:p>
        </w:tc>
        <w:tc>
          <w:tcPr>
            <w:tcW w:type="dxa" w:w="1757"/>
          </w:tcPr>
          <w:p>
            <w:pPr>
              <w:spacing w:after="0"/>
            </w:pPr>
            <w:r>
              <w:rPr>
                <w:b w:val="0"/>
                <w:sz w:val="19"/>
              </w:rPr>
              <w:t>C/S: holder recorded before submission</w:t>
            </w:r>
          </w:p>
        </w:tc>
        <w:tc>
          <w:tcPr>
            <w:tcW w:type="dxa" w:w="2914"/>
          </w:tcPr>
          <w:p>
            <w:pPr>
              <w:spacing w:after="0"/>
            </w:pPr>
            <w:r>
              <w:rPr>
                <w:b w:val="0"/>
                <w:sz w:val="19"/>
              </w:rPr>
              <w:t>C/S: same</w:t>
            </w:r>
          </w:p>
        </w:tc>
        <w:tc>
          <w:tcPr>
            <w:tcW w:type="dxa" w:w="3827"/>
          </w:tcPr>
          <w:p>
            <w:pPr>
              <w:spacing w:after="0"/>
            </w:pPr>
            <w:r>
              <w:rPr>
                <w:b w:val="0"/>
                <w:sz w:val="19"/>
              </w:rPr>
              <w:t>Network Office never takes investigator duties at the PI's site</w:t>
            </w: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Independent Site SOP Library: Network Edition,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Central and Site Responsibilities (Exceptions Table)</w:t>
          </w:r>
        </w:p>
      </w:tc>
      <w:tc>
        <w:tcPr>
          <w:tcW w:type="dxa" w:w="4147"/>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APPENDIX-B Central and Site Responsibilities (Exceptions Table)</dc:title>
  <dc:subject>GUIDE</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