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Cross-Entity Data Flow Register</w:t>
      </w:r>
    </w:p>
    <w:p>
      <w:r>
        <w:rPr>
          <w:b/>
          <w:sz w:val="18"/>
        </w:rPr>
        <w:t xml:space="preserve">Purpose: </w:t>
      </w:r>
      <w:r>
        <w:rPr>
          <w:b w:val="0"/>
          <w:sz w:val="18"/>
        </w:rPr>
        <w:t>Model N only. Lists every flow of participant or study data between legal entities in the network (and to the Network Office), with the data type, the legal pathway, the system, the approver and the review date, records counsel confirmations on open questions, and records what happens to the data when a site exits.</w:t>
      </w:r>
    </w:p>
    <w:p>
      <w:pPr>
        <w:spacing w:after="0"/>
      </w:pPr>
      <w:r>
        <w:rPr>
          <w:b/>
          <w:sz w:val="18"/>
        </w:rPr>
        <w:t>Instructions</w:t>
      </w:r>
    </w:p>
    <w:p>
      <w:pPr>
        <w:pStyle w:val="ListBullet"/>
        <w:spacing w:after="0"/>
      </w:pPr>
      <w:r>
        <w:rPr>
          <w:b w:val="0"/>
          <w:sz w:val="18"/>
        </w:rPr>
        <w:t>The Network Privacy Officer keeps this register. Add a flow before any data move. No flow of PHI between separate legal entities starts without a pathway recorded here (SOP-N6 5.4.1).</w:t>
      </w:r>
    </w:p>
    <w:p>
      <w:pPr>
        <w:pStyle w:val="ListBullet"/>
        <w:spacing w:after="0"/>
      </w:pPr>
      <w:r>
        <w:rPr>
          <w:b w:val="0"/>
          <w:sz w:val="18"/>
        </w:rPr>
        <w:t>Data type: PHI (identifiable), LDS (limited data set), de-identified (45 CFR 164.514(b)), Part 2 (SUD records under 42 CFR Part 2), or non-participant business data.</w:t>
      </w:r>
    </w:p>
    <w:p>
      <w:pPr>
        <w:pStyle w:val="ListBullet"/>
        <w:spacing w:after="0"/>
      </w:pPr>
      <w:r>
        <w:rPr>
          <w:b w:val="0"/>
          <w:sz w:val="18"/>
        </w:rPr>
        <w:t>Pathway: participant authorization, BAA, DUA (limited data set only), same covered entity, ACE, IRB or privacy board waiver, treatment, or other (explain). An OHCA covers joint health care operations only, never research. De-identified data need no pathway but record the method.</w:t>
      </w:r>
    </w:p>
    <w:p>
      <w:pPr>
        <w:pStyle w:val="ListBullet"/>
        <w:spacing w:after="0"/>
      </w:pPr>
      <w:r>
        <w:rPr>
          <w:b w:val="0"/>
          <w:sz w:val="18"/>
        </w:rPr>
        <w:t>Approver: for a flow within the network entity, the Network Privacy Officer approves. For a flow from another covered entity or ACE, that entity's Privacy Officer approves and the Network Privacy Officer then records it (SOP-N6 section 3).</w:t>
      </w:r>
    </w:p>
    <w:p>
      <w:pPr>
        <w:pStyle w:val="ListBullet"/>
        <w:spacing w:after="0"/>
      </w:pPr>
      <w:r>
        <w:rPr>
          <w:b w:val="0"/>
          <w:sz w:val="18"/>
        </w:rPr>
        <w:t>An ACE includes only covered entities. Where the network entity is not an ACE member, a flow from ACE members to the Network Office is a disclosure to a business associate: pathway BAA, not ACE (SOP-N6 5.3.3).</w:t>
      </w:r>
    </w:p>
    <w:p>
      <w:pPr>
        <w:pStyle w:val="ListBullet"/>
        <w:spacing w:after="0"/>
      </w:pPr>
      <w:r>
        <w:rPr>
          <w:b w:val="0"/>
          <w:sz w:val="18"/>
        </w:rPr>
        <w:t>Within one legal entity, list only flows leaving the entity and flows between ACE members (SOP-N6 5.4.1).</w:t>
      </w:r>
    </w:p>
    <w:p>
      <w:pPr>
        <w:pStyle w:val="ListBullet"/>
        <w:spacing w:after="0"/>
      </w:pPr>
      <w:r>
        <w:rPr>
          <w:b w:val="0"/>
          <w:sz w:val="18"/>
        </w:rPr>
        <w:t>Network Office feasibility queries on another covered entity's data: record counsel's confirmation in Part 4 before first use (SOP-N6 5.5.1).</w:t>
      </w:r>
    </w:p>
    <w:p>
      <w:pPr>
        <w:pStyle w:val="ListBullet"/>
        <w:spacing w:after="0"/>
      </w:pPr>
      <w:r>
        <w:rPr>
          <w:b w:val="0"/>
          <w:sz w:val="18"/>
        </w:rPr>
        <w:t>A study ID on an otherwise de-identified data set is treated as PHI until counsel confirms it meets 45 CFR 164.514(c); record the confirmation in Part 4 (SOP-N6 5.6.2).</w:t>
      </w:r>
    </w:p>
    <w:p>
      <w:pPr>
        <w:pStyle w:val="ListBullet"/>
        <w:spacing w:after="0"/>
      </w:pPr>
      <w:r>
        <w:rPr>
          <w:b w:val="0"/>
          <w:sz w:val="18"/>
        </w:rPr>
        <w:t>Send only the minimum necessary. Metric and scorecard data under SOP-N4 contain no direct identifiers.</w:t>
      </w:r>
    </w:p>
    <w:p>
      <w:pPr>
        <w:pStyle w:val="ListBullet"/>
        <w:spacing w:after="0"/>
      </w:pPr>
      <w:r>
        <w:rPr>
          <w:b w:val="0"/>
          <w:sz w:val="18"/>
        </w:rPr>
        <w:t>When a flow stops (for example at site exit), record the end date and status in Part 1b (SOP-N6 5.7.5).</w:t>
      </w:r>
    </w:p>
    <w:p>
      <w:pPr>
        <w:pStyle w:val="ListBullet"/>
        <w:spacing w:after="0"/>
      </w:pPr>
      <w:r>
        <w:rPr>
          <w:b w:val="0"/>
          <w:sz w:val="18"/>
        </w:rPr>
        <w:t xml:space="preserve">Review each flow at least </w:t>
      </w:r>
      <w:r>
        <w:rPr>
          <w:b w:val="0"/>
          <w:sz w:val="18"/>
          <w:highlight w:val="green"/>
        </w:rPr>
        <w:t>[DEFAULT: annually]</w:t>
      </w:r>
      <w:r>
        <w:rPr>
          <w:b w:val="0"/>
          <w:sz w:val="18"/>
        </w:rPr>
        <w:t>, when a member site joins or leaves, and when the agreement, system or purpose changes (SOP-N6 5.4.2).</w:t>
      </w:r>
    </w:p>
    <w:p>
      <w:pPr>
        <w:pStyle w:val="ListBullet"/>
        <w:spacing w:after="0"/>
      </w:pPr>
      <w:r>
        <w:rPr>
          <w:b w:val="0"/>
          <w:sz w:val="18"/>
        </w:rPr>
        <w:t>Typical flows to list: feasibility counts (SOP-M2; SOP-N3); central pre-screening or call center referrals; network volunteer database and duplicate-enrollment checks (SOP-N6 5.5); central eISF or eRegulatory holding site records; central claim review or audit (SOP-M2); central QA audits and monitoring of source (SOP-N4); scorecard metric data (SOP-N4); shared or Network Office staff access to another entity's PHI (SOP-N5); central participant payments (SOP-10; SOP-N3); SAE and safety records; records transfer at site exit or participant transfer.</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Network name</w:t>
            </w:r>
          </w:p>
        </w:tc>
        <w:tc>
          <w:tcPr>
            <w:tcW w:type="dxa" w:w="2447"/>
          </w:tcPr>
          <w:p/>
        </w:tc>
        <w:tc>
          <w:tcPr>
            <w:tcW w:type="dxa" w:w="2160"/>
            <w:shd w:val="clear" w:color="auto" w:fill="D9E2F3"/>
          </w:tcPr>
          <w:p>
            <w:pPr>
              <w:spacing w:after="0"/>
            </w:pPr>
            <w:r>
              <w:rPr>
                <w:b/>
                <w:sz w:val="17"/>
              </w:rPr>
              <w:t>Register version</w:t>
            </w:r>
          </w:p>
        </w:tc>
        <w:tc>
          <w:tcPr>
            <w:tcW w:type="dxa" w:w="2447"/>
          </w:tcPr>
          <w:p/>
        </w:tc>
        <w:tc>
          <w:tcPr>
            <w:tcW w:type="dxa" w:w="2160"/>
            <w:shd w:val="clear" w:color="auto" w:fill="D9E2F3"/>
          </w:tcPr>
          <w:p>
            <w:pPr>
              <w:spacing w:after="0"/>
            </w:pPr>
            <w:r>
              <w:rPr>
                <w:b/>
                <w:sz w:val="17"/>
              </w:rPr>
              <w:t>Updated on</w:t>
            </w:r>
          </w:p>
        </w:tc>
        <w:tc>
          <w:tcPr>
            <w:tcW w:type="dxa" w:w="2447"/>
          </w:tcPr>
          <w:p/>
        </w:tc>
      </w:tr>
      <w:tr>
        <w:trPr>
          <w:trHeight w:val="432"/>
        </w:trPr>
        <w:tc>
          <w:tcPr>
            <w:tcW w:type="dxa" w:w="2160"/>
            <w:shd w:val="clear" w:color="auto" w:fill="D9E2F3"/>
          </w:tcPr>
          <w:p>
            <w:pPr>
              <w:spacing w:after="0"/>
            </w:pPr>
            <w:r>
              <w:rPr>
                <w:b/>
                <w:sz w:val="17"/>
              </w:rPr>
              <w:t>Updated by</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1a. Data flows</w:t>
      </w:r>
    </w:p>
    <w:tbl>
      <w:tblPr>
        <w:tblStyle w:val="TableGrid"/>
        <w:tblW w:type="auto" w:w="0"/>
        <w:jc w:val="left"/>
        <w:tblLayout w:type="fixed"/>
        <w:tblLook w:firstColumn="1" w:firstRow="1" w:lastColumn="0" w:lastRow="0" w:noHBand="0" w:noVBand="1" w:val="04A0"/>
      </w:tblPr>
      <w:tblGrid>
        <w:gridCol w:w="864"/>
        <w:gridCol w:w="2591"/>
        <w:gridCol w:w="1728"/>
        <w:gridCol w:w="1728"/>
        <w:gridCol w:w="1728"/>
        <w:gridCol w:w="1728"/>
        <w:gridCol w:w="1728"/>
        <w:gridCol w:w="1728"/>
      </w:tblGrid>
      <w:tr>
        <w:trPr>
          <w:tblHeader w:val="true"/>
        </w:trPr>
        <w:tc>
          <w:tcPr>
            <w:tcW w:type="dxa" w:w="864"/>
            <w:shd w:val="clear" w:color="auto" w:fill="D9E2F3"/>
          </w:tcPr>
          <w:p>
            <w:pPr>
              <w:spacing w:after="0"/>
            </w:pPr>
            <w:r>
              <w:rPr>
                <w:b/>
                <w:sz w:val="17"/>
              </w:rPr>
              <w:t>Flow ID</w:t>
            </w:r>
          </w:p>
        </w:tc>
        <w:tc>
          <w:tcPr>
            <w:tcW w:type="dxa" w:w="2591"/>
            <w:shd w:val="clear" w:color="auto" w:fill="D9E2F3"/>
          </w:tcPr>
          <w:p>
            <w:pPr>
              <w:spacing w:after="0"/>
            </w:pPr>
            <w:r>
              <w:rPr>
                <w:b/>
                <w:sz w:val="17"/>
              </w:rPr>
              <w:t>Data set, purpose and studies or activities</w:t>
            </w:r>
          </w:p>
        </w:tc>
        <w:tc>
          <w:tcPr>
            <w:tcW w:type="dxa" w:w="1728"/>
            <w:shd w:val="clear" w:color="auto" w:fill="D9E2F3"/>
          </w:tcPr>
          <w:p>
            <w:pPr>
              <w:spacing w:after="0"/>
            </w:pPr>
            <w:r>
              <w:rPr>
                <w:b/>
                <w:sz w:val="17"/>
              </w:rPr>
              <w:t>From entity</w:t>
            </w:r>
          </w:p>
        </w:tc>
        <w:tc>
          <w:tcPr>
            <w:tcW w:type="dxa" w:w="1728"/>
            <w:shd w:val="clear" w:color="auto" w:fill="D9E2F3"/>
          </w:tcPr>
          <w:p>
            <w:pPr>
              <w:spacing w:after="0"/>
            </w:pPr>
            <w:r>
              <w:rPr>
                <w:b/>
                <w:sz w:val="17"/>
              </w:rPr>
              <w:t>To entity</w:t>
            </w:r>
          </w:p>
        </w:tc>
        <w:tc>
          <w:tcPr>
            <w:tcW w:type="dxa" w:w="1728"/>
            <w:shd w:val="clear" w:color="auto" w:fill="D9E2F3"/>
          </w:tcPr>
          <w:p>
            <w:pPr>
              <w:spacing w:after="0"/>
            </w:pPr>
            <w:r>
              <w:rPr>
                <w:b/>
                <w:sz w:val="17"/>
              </w:rPr>
              <w:t>Data type (PHI, LDS, de-identified, Part 2, business)</w:t>
            </w:r>
          </w:p>
        </w:tc>
        <w:tc>
          <w:tcPr>
            <w:tcW w:type="dxa" w:w="1728"/>
            <w:shd w:val="clear" w:color="auto" w:fill="D9E2F3"/>
          </w:tcPr>
          <w:p>
            <w:pPr>
              <w:spacing w:after="0"/>
            </w:pPr>
            <w:r>
              <w:rPr>
                <w:b/>
                <w:sz w:val="17"/>
              </w:rPr>
              <w:t>Pathway (authorization, BAA, DUA, same CE, ACE, waiver, treatment)</w:t>
            </w:r>
          </w:p>
        </w:tc>
        <w:tc>
          <w:tcPr>
            <w:tcW w:type="dxa" w:w="1728"/>
            <w:shd w:val="clear" w:color="auto" w:fill="D9E2F3"/>
          </w:tcPr>
          <w:p>
            <w:pPr>
              <w:spacing w:after="0"/>
            </w:pPr>
            <w:r>
              <w:rPr>
                <w:b/>
                <w:sz w:val="17"/>
              </w:rPr>
              <w:t>Agreement or authorization reference</w:t>
            </w:r>
          </w:p>
        </w:tc>
        <w:tc>
          <w:tcPr>
            <w:tcW w:type="dxa" w:w="1728"/>
            <w:shd w:val="clear" w:color="auto" w:fill="D9E2F3"/>
          </w:tcPr>
          <w:p>
            <w:pPr>
              <w:spacing w:after="0"/>
            </w:pPr>
            <w:r>
              <w:rPr>
                <w:b/>
                <w:sz w:val="17"/>
              </w:rPr>
              <w:t>System or transfer method and safeguards</w:t>
            </w: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r>
        <w:trPr>
          <w:cantSplit w:val="true"/>
          <w:trHeight w:val="461"/>
        </w:trPr>
        <w:tc>
          <w:tcPr>
            <w:tcW w:type="dxa" w:w="864"/>
          </w:tcPr>
          <w:p>
            <w:pPr>
              <w:spacing w:after="0"/>
            </w:pPr>
          </w:p>
        </w:tc>
        <w:tc>
          <w:tcPr>
            <w:tcW w:type="dxa" w:w="2591"/>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c>
          <w:tcPr>
            <w:tcW w:type="dxa" w:w="1728"/>
          </w:tcPr>
          <w:p>
            <w:pPr>
              <w:spacing w:after="0"/>
            </w:pPr>
          </w:p>
        </w:tc>
      </w:tr>
    </w:tbl>
    <w:p>
      <w:pPr>
        <w:spacing w:after="40"/>
      </w:pPr>
    </w:p>
    <w:p>
      <w:pPr>
        <w:pStyle w:val="Heading2"/>
      </w:pPr>
      <w:r>
        <w:t>Part 1b. Flow control and status</w:t>
      </w:r>
    </w:p>
    <w:tbl>
      <w:tblPr>
        <w:tblStyle w:val="TableGrid"/>
        <w:tblW w:type="auto" w:w="0"/>
        <w:jc w:val="left"/>
        <w:tblLayout w:type="fixed"/>
        <w:tblLook w:firstColumn="1" w:firstRow="1" w:lastColumn="0" w:lastRow="0" w:noHBand="0" w:noVBand="1" w:val="04A0"/>
      </w:tblPr>
      <w:tblGrid>
        <w:gridCol w:w="1063"/>
        <w:gridCol w:w="3190"/>
        <w:gridCol w:w="2126"/>
        <w:gridCol w:w="2126"/>
        <w:gridCol w:w="2126"/>
        <w:gridCol w:w="1063"/>
        <w:gridCol w:w="2126"/>
      </w:tblGrid>
      <w:tr>
        <w:trPr>
          <w:tblHeader w:val="true"/>
        </w:trPr>
        <w:tc>
          <w:tcPr>
            <w:tcW w:type="dxa" w:w="1063"/>
            <w:shd w:val="clear" w:color="auto" w:fill="D9E2F3"/>
          </w:tcPr>
          <w:p>
            <w:pPr>
              <w:spacing w:after="0"/>
            </w:pPr>
            <w:r>
              <w:rPr>
                <w:b/>
                <w:sz w:val="17"/>
              </w:rPr>
              <w:t>Flow ID</w:t>
            </w:r>
          </w:p>
        </w:tc>
        <w:tc>
          <w:tcPr>
            <w:tcW w:type="dxa" w:w="3190"/>
            <w:shd w:val="clear" w:color="auto" w:fill="D9E2F3"/>
          </w:tcPr>
          <w:p>
            <w:pPr>
              <w:spacing w:after="0"/>
            </w:pPr>
            <w:r>
              <w:rPr>
                <w:b/>
                <w:sz w:val="17"/>
              </w:rPr>
              <w:t>Minimum necessary fields</w:t>
            </w:r>
          </w:p>
        </w:tc>
        <w:tc>
          <w:tcPr>
            <w:tcW w:type="dxa" w:w="2126"/>
            <w:shd w:val="clear" w:color="auto" w:fill="D9E2F3"/>
          </w:tcPr>
          <w:p>
            <w:pPr>
              <w:spacing w:after="0"/>
            </w:pPr>
            <w:r>
              <w:rPr>
                <w:b/>
                <w:sz w:val="17"/>
              </w:rPr>
              <w:t>Owner at each entity</w:t>
            </w:r>
          </w:p>
        </w:tc>
        <w:tc>
          <w:tcPr>
            <w:tcW w:type="dxa" w:w="2126"/>
            <w:shd w:val="clear" w:color="auto" w:fill="D9E2F3"/>
          </w:tcPr>
          <w:p>
            <w:pPr>
              <w:spacing w:after="0"/>
            </w:pPr>
            <w:r>
              <w:rPr>
                <w:b/>
                <w:sz w:val="17"/>
              </w:rPr>
              <w:t>Approver (disclosing entity) and date</w:t>
            </w:r>
          </w:p>
        </w:tc>
        <w:tc>
          <w:tcPr>
            <w:tcW w:type="dxa" w:w="2126"/>
            <w:shd w:val="clear" w:color="auto" w:fill="D9E2F3"/>
          </w:tcPr>
          <w:p>
            <w:pPr>
              <w:spacing w:after="0"/>
            </w:pPr>
            <w:r>
              <w:rPr>
                <w:b/>
                <w:sz w:val="17"/>
              </w:rPr>
              <w:t>Recorded by Network Privacy Officer (date)</w:t>
            </w:r>
          </w:p>
        </w:tc>
        <w:tc>
          <w:tcPr>
            <w:tcW w:type="dxa" w:w="1063"/>
            <w:shd w:val="clear" w:color="auto" w:fill="D9E2F3"/>
          </w:tcPr>
          <w:p>
            <w:pPr>
              <w:spacing w:after="0"/>
            </w:pPr>
            <w:r>
              <w:rPr>
                <w:b/>
                <w:sz w:val="17"/>
              </w:rPr>
              <w:t>Next review</w:t>
            </w:r>
          </w:p>
        </w:tc>
        <w:tc>
          <w:tcPr>
            <w:tcW w:type="dxa" w:w="2126"/>
            <w:shd w:val="clear" w:color="auto" w:fill="D9E2F3"/>
          </w:tcPr>
          <w:p>
            <w:pPr>
              <w:spacing w:after="0"/>
            </w:pPr>
            <w:r>
              <w:rPr>
                <w:b/>
                <w:sz w:val="17"/>
              </w:rPr>
              <w:t>End date and status (active, stopped, closed at exit)</w:t>
            </w: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2126"/>
          </w:tcPr>
          <w:p>
            <w:pPr>
              <w:spacing w:after="0"/>
            </w:pPr>
          </w:p>
        </w:tc>
      </w:tr>
    </w:tbl>
    <w:p>
      <w:pPr>
        <w:spacing w:after="40"/>
      </w:pPr>
    </w:p>
    <w:p>
      <w:pPr>
        <w:pStyle w:val="Heading2"/>
      </w:pPr>
      <w:r>
        <w:t>Part 2. Data disposition at site exit</w:t>
      </w:r>
    </w:p>
    <w:tbl>
      <w:tblPr>
        <w:tblStyle w:val="TableGrid"/>
        <w:tblW w:type="auto" w:w="0"/>
        <w:jc w:val="left"/>
        <w:tblLayout w:type="fixed"/>
        <w:tblLook w:firstColumn="1" w:firstRow="1" w:lastColumn="0" w:lastRow="0" w:noHBand="0" w:noVBand="1" w:val="04A0"/>
      </w:tblPr>
      <w:tblGrid>
        <w:gridCol w:w="1256"/>
        <w:gridCol w:w="2513"/>
        <w:gridCol w:w="3770"/>
        <w:gridCol w:w="2513"/>
        <w:gridCol w:w="1256"/>
        <w:gridCol w:w="2513"/>
      </w:tblGrid>
      <w:tr>
        <w:trPr>
          <w:tblHeader w:val="true"/>
        </w:trPr>
        <w:tc>
          <w:tcPr>
            <w:tcW w:type="dxa" w:w="1256"/>
            <w:shd w:val="clear" w:color="auto" w:fill="D9E2F3"/>
          </w:tcPr>
          <w:p>
            <w:pPr>
              <w:keepNext/>
              <w:spacing w:after="0"/>
            </w:pPr>
            <w:r>
              <w:rPr>
                <w:b/>
                <w:sz w:val="17"/>
              </w:rPr>
              <w:t>Flow ID</w:t>
            </w:r>
          </w:p>
        </w:tc>
        <w:tc>
          <w:tcPr>
            <w:tcW w:type="dxa" w:w="2513"/>
            <w:shd w:val="clear" w:color="auto" w:fill="D9E2F3"/>
          </w:tcPr>
          <w:p>
            <w:pPr>
              <w:keepNext/>
              <w:spacing w:after="0"/>
            </w:pPr>
            <w:r>
              <w:rPr>
                <w:b/>
                <w:sz w:val="17"/>
              </w:rPr>
              <w:t>Exiting site</w:t>
            </w:r>
          </w:p>
        </w:tc>
        <w:tc>
          <w:tcPr>
            <w:tcW w:type="dxa" w:w="3770"/>
            <w:shd w:val="clear" w:color="auto" w:fill="D9E2F3"/>
          </w:tcPr>
          <w:p>
            <w:pPr>
              <w:keepNext/>
              <w:spacing w:after="0"/>
            </w:pPr>
            <w:r>
              <w:rPr>
                <w:b/>
                <w:sz w:val="17"/>
              </w:rPr>
              <w:t>Keep, return or destroy (per agreement, BAA or DUA)</w:t>
            </w:r>
          </w:p>
        </w:tc>
        <w:tc>
          <w:tcPr>
            <w:tcW w:type="dxa" w:w="2513"/>
            <w:shd w:val="clear" w:color="auto" w:fill="D9E2F3"/>
          </w:tcPr>
          <w:p>
            <w:pPr>
              <w:keepNext/>
              <w:spacing w:after="0"/>
            </w:pPr>
            <w:r>
              <w:rPr>
                <w:b/>
                <w:sz w:val="17"/>
              </w:rPr>
              <w:t>Retention period checked (SOP-12)</w:t>
            </w:r>
          </w:p>
        </w:tc>
        <w:tc>
          <w:tcPr>
            <w:tcW w:type="dxa" w:w="1256"/>
            <w:shd w:val="clear" w:color="auto" w:fill="D9E2F3"/>
          </w:tcPr>
          <w:p>
            <w:pPr>
              <w:keepNext/>
              <w:spacing w:after="0"/>
            </w:pPr>
            <w:r>
              <w:rPr>
                <w:b/>
                <w:sz w:val="17"/>
              </w:rPr>
              <w:t>Date done</w:t>
            </w:r>
          </w:p>
        </w:tc>
        <w:tc>
          <w:tcPr>
            <w:tcW w:type="dxa" w:w="2513"/>
            <w:shd w:val="clear" w:color="auto" w:fill="D9E2F3"/>
          </w:tcPr>
          <w:p>
            <w:pPr>
              <w:keepNext/>
              <w:spacing w:after="0"/>
            </w:pPr>
            <w:r>
              <w:rPr>
                <w:b/>
                <w:sz w:val="17"/>
              </w:rPr>
              <w:t>Confirmed by</w:t>
            </w: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c>
          <w:tcPr>
            <w:tcW w:type="dxa" w:w="1256"/>
          </w:tcPr>
          <w:p>
            <w:pPr>
              <w:keepNext/>
              <w:spacing w:after="0"/>
            </w:pPr>
          </w:p>
        </w:tc>
        <w:tc>
          <w:tcPr>
            <w:tcW w:type="dxa" w:w="2513"/>
          </w:tcPr>
          <w:p>
            <w:pPr>
              <w:keepNext/>
              <w:spacing w:after="0"/>
            </w:pPr>
          </w:p>
        </w:tc>
      </w:tr>
      <w:tr>
        <w:trPr>
          <w:cantSplit w:val="true"/>
          <w:trHeight w:val="461"/>
        </w:trPr>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c>
          <w:tcPr>
            <w:tcW w:type="dxa" w:w="1256"/>
          </w:tcPr>
          <w:p>
            <w:pPr>
              <w:spacing w:after="0"/>
            </w:pPr>
          </w:p>
        </w:tc>
        <w:tc>
          <w:tcPr>
            <w:tcW w:type="dxa" w:w="2513"/>
          </w:tcPr>
          <w:p>
            <w:pPr>
              <w:spacing w:after="0"/>
            </w:pPr>
          </w:p>
        </w:tc>
      </w:tr>
    </w:tbl>
    <w:p>
      <w:pPr>
        <w:spacing w:after="40"/>
      </w:pPr>
    </w:p>
    <w:p>
      <w:pPr>
        <w:pStyle w:val="Heading2"/>
      </w:pPr>
      <w:r>
        <w:t>Part 3. Periodic review</w:t>
      </w:r>
    </w:p>
    <w:tbl>
      <w:tblPr>
        <w:tblStyle w:val="TableGrid"/>
        <w:tblW w:type="auto" w:w="0"/>
        <w:jc w:val="left"/>
        <w:tblLayout w:type="fixed"/>
        <w:tblLook w:firstColumn="1" w:firstRow="1" w:lastColumn="0" w:lastRow="0" w:noHBand="0" w:noVBand="1" w:val="04A0"/>
      </w:tblPr>
      <w:tblGrid>
        <w:gridCol w:w="1382"/>
        <w:gridCol w:w="4147"/>
        <w:gridCol w:w="5529"/>
        <w:gridCol w:w="2764"/>
      </w:tblGrid>
      <w:tr>
        <w:trPr>
          <w:tblHeader w:val="true"/>
        </w:trPr>
        <w:tc>
          <w:tcPr>
            <w:tcW w:type="dxa" w:w="1382"/>
            <w:shd w:val="clear" w:color="auto" w:fill="D9E2F3"/>
          </w:tcPr>
          <w:p>
            <w:pPr>
              <w:keepNext/>
              <w:spacing w:after="0"/>
            </w:pPr>
            <w:r>
              <w:rPr>
                <w:b/>
                <w:sz w:val="17"/>
              </w:rPr>
              <w:t>Review date</w:t>
            </w:r>
          </w:p>
        </w:tc>
        <w:tc>
          <w:tcPr>
            <w:tcW w:type="dxa" w:w="4147"/>
            <w:shd w:val="clear" w:color="auto" w:fill="D9E2F3"/>
          </w:tcPr>
          <w:p>
            <w:pPr>
              <w:keepNext/>
              <w:spacing w:after="0"/>
            </w:pPr>
            <w:r>
              <w:rPr>
                <w:b/>
                <w:sz w:val="17"/>
              </w:rPr>
              <w:t>Flows reviewed</w:t>
            </w:r>
          </w:p>
        </w:tc>
        <w:tc>
          <w:tcPr>
            <w:tcW w:type="dxa" w:w="5529"/>
            <w:shd w:val="clear" w:color="auto" w:fill="D9E2F3"/>
          </w:tcPr>
          <w:p>
            <w:pPr>
              <w:keepNext/>
              <w:spacing w:after="0"/>
            </w:pPr>
            <w:r>
              <w:rPr>
                <w:b/>
                <w:sz w:val="17"/>
              </w:rPr>
              <w:t>Changes made</w:t>
            </w:r>
          </w:p>
        </w:tc>
        <w:tc>
          <w:tcPr>
            <w:tcW w:type="dxa" w:w="2764"/>
            <w:shd w:val="clear" w:color="auto" w:fill="D9E2F3"/>
          </w:tcPr>
          <w:p>
            <w:pPr>
              <w:keepNext/>
              <w:spacing w:after="0"/>
            </w:pPr>
            <w:r>
              <w:rPr>
                <w:b/>
                <w:sz w:val="17"/>
              </w:rPr>
              <w:t>Reviewer</w:t>
            </w:r>
          </w:p>
        </w:tc>
      </w:tr>
      <w:tr>
        <w:trPr>
          <w:cantSplit w:val="true"/>
          <w:trHeight w:val="461"/>
        </w:trPr>
        <w:tc>
          <w:tcPr>
            <w:tcW w:type="dxa" w:w="1382"/>
          </w:tcPr>
          <w:p>
            <w:pPr>
              <w:keepNext/>
              <w:spacing w:after="0"/>
            </w:pPr>
          </w:p>
        </w:tc>
        <w:tc>
          <w:tcPr>
            <w:tcW w:type="dxa" w:w="4147"/>
          </w:tcPr>
          <w:p>
            <w:pPr>
              <w:keepNext/>
              <w:spacing w:after="0"/>
            </w:pPr>
          </w:p>
        </w:tc>
        <w:tc>
          <w:tcPr>
            <w:tcW w:type="dxa" w:w="5529"/>
          </w:tcPr>
          <w:p>
            <w:pPr>
              <w:keepNext/>
              <w:spacing w:after="0"/>
            </w:pPr>
          </w:p>
        </w:tc>
        <w:tc>
          <w:tcPr>
            <w:tcW w:type="dxa" w:w="2764"/>
          </w:tcPr>
          <w:p>
            <w:pPr>
              <w:keepNext/>
              <w:spacing w:after="0"/>
            </w:pPr>
          </w:p>
        </w:tc>
      </w:tr>
      <w:tr>
        <w:trPr>
          <w:cantSplit w:val="true"/>
          <w:trHeight w:val="461"/>
        </w:trPr>
        <w:tc>
          <w:tcPr>
            <w:tcW w:type="dxa" w:w="1382"/>
          </w:tcPr>
          <w:p>
            <w:pPr>
              <w:keepNext/>
              <w:spacing w:after="0"/>
            </w:pPr>
          </w:p>
        </w:tc>
        <w:tc>
          <w:tcPr>
            <w:tcW w:type="dxa" w:w="4147"/>
          </w:tcPr>
          <w:p>
            <w:pPr>
              <w:keepNext/>
              <w:spacing w:after="0"/>
            </w:pPr>
          </w:p>
        </w:tc>
        <w:tc>
          <w:tcPr>
            <w:tcW w:type="dxa" w:w="5529"/>
          </w:tcPr>
          <w:p>
            <w:pPr>
              <w:keepNext/>
              <w:spacing w:after="0"/>
            </w:pPr>
          </w:p>
        </w:tc>
        <w:tc>
          <w:tcPr>
            <w:tcW w:type="dxa" w:w="2764"/>
          </w:tcPr>
          <w:p>
            <w:pPr>
              <w:keepNext/>
              <w:spacing w:after="0"/>
            </w:pPr>
          </w:p>
        </w:tc>
      </w:tr>
      <w:tr>
        <w:trPr>
          <w:cantSplit w:val="true"/>
          <w:trHeight w:val="461"/>
        </w:trPr>
        <w:tc>
          <w:tcPr>
            <w:tcW w:type="dxa" w:w="1382"/>
          </w:tcPr>
          <w:p>
            <w:pPr>
              <w:keepNext/>
              <w:spacing w:after="0"/>
            </w:pPr>
          </w:p>
        </w:tc>
        <w:tc>
          <w:tcPr>
            <w:tcW w:type="dxa" w:w="4147"/>
          </w:tcPr>
          <w:p>
            <w:pPr>
              <w:keepNext/>
              <w:spacing w:after="0"/>
            </w:pPr>
          </w:p>
        </w:tc>
        <w:tc>
          <w:tcPr>
            <w:tcW w:type="dxa" w:w="5529"/>
          </w:tcPr>
          <w:p>
            <w:pPr>
              <w:keepNext/>
              <w:spacing w:after="0"/>
            </w:pPr>
          </w:p>
        </w:tc>
        <w:tc>
          <w:tcPr>
            <w:tcW w:type="dxa" w:w="2764"/>
          </w:tcPr>
          <w:p>
            <w:pPr>
              <w:keepNext/>
              <w:spacing w:after="0"/>
            </w:pPr>
          </w:p>
        </w:tc>
      </w:tr>
      <w:tr>
        <w:trPr>
          <w:cantSplit w:val="true"/>
          <w:trHeight w:val="461"/>
        </w:trPr>
        <w:tc>
          <w:tcPr>
            <w:tcW w:type="dxa" w:w="1382"/>
          </w:tcPr>
          <w:p>
            <w:pPr>
              <w:spacing w:after="0"/>
            </w:pPr>
          </w:p>
        </w:tc>
        <w:tc>
          <w:tcPr>
            <w:tcW w:type="dxa" w:w="4147"/>
          </w:tcPr>
          <w:p>
            <w:pPr>
              <w:spacing w:after="0"/>
            </w:pPr>
          </w:p>
        </w:tc>
        <w:tc>
          <w:tcPr>
            <w:tcW w:type="dxa" w:w="5529"/>
          </w:tcPr>
          <w:p>
            <w:pPr>
              <w:spacing w:after="0"/>
            </w:pPr>
          </w:p>
        </w:tc>
        <w:tc>
          <w:tcPr>
            <w:tcW w:type="dxa" w:w="2764"/>
          </w:tcPr>
          <w:p>
            <w:pPr>
              <w:spacing w:after="0"/>
            </w:pPr>
          </w:p>
        </w:tc>
      </w:tr>
    </w:tbl>
    <w:p>
      <w:pPr>
        <w:spacing w:after="40"/>
      </w:pPr>
    </w:p>
    <w:p>
      <w:pPr>
        <w:pStyle w:val="Heading2"/>
      </w:pPr>
      <w:r>
        <w:t>Part 4. Counsel confirmations</w:t>
      </w:r>
    </w:p>
    <w:tbl>
      <w:tblPr>
        <w:tblStyle w:val="TableGrid"/>
        <w:tblW w:type="auto" w:w="0"/>
        <w:jc w:val="left"/>
        <w:tblLayout w:type="fixed"/>
        <w:tblLook w:firstColumn="1" w:firstRow="1" w:lastColumn="0" w:lastRow="0" w:noHBand="0" w:noVBand="1" w:val="04A0"/>
      </w:tblPr>
      <w:tblGrid>
        <w:gridCol w:w="5026"/>
        <w:gridCol w:w="2513"/>
        <w:gridCol w:w="5026"/>
        <w:gridCol w:w="1256"/>
      </w:tblGrid>
      <w:tr>
        <w:trPr>
          <w:tblHeader w:val="true"/>
        </w:trPr>
        <w:tc>
          <w:tcPr>
            <w:tcW w:type="dxa" w:w="5026"/>
            <w:shd w:val="clear" w:color="auto" w:fill="D9E2F3"/>
          </w:tcPr>
          <w:p>
            <w:pPr>
              <w:keepNext/>
              <w:spacing w:after="0"/>
            </w:pPr>
            <w:r>
              <w:rPr>
                <w:b/>
                <w:sz w:val="17"/>
              </w:rPr>
              <w:t>Question (feasibility query under BAA; study ID under 164.514(c); Appendix B row exception; other)</w:t>
            </w:r>
          </w:p>
        </w:tc>
        <w:tc>
          <w:tcPr>
            <w:tcW w:type="dxa" w:w="2513"/>
            <w:shd w:val="clear" w:color="auto" w:fill="D9E2F3"/>
          </w:tcPr>
          <w:p>
            <w:pPr>
              <w:keepNext/>
              <w:spacing w:after="0"/>
            </w:pPr>
            <w:r>
              <w:rPr>
                <w:b/>
                <w:sz w:val="17"/>
              </w:rPr>
              <w:t>Counsel and date</w:t>
            </w:r>
          </w:p>
        </w:tc>
        <w:tc>
          <w:tcPr>
            <w:tcW w:type="dxa" w:w="5026"/>
            <w:shd w:val="clear" w:color="auto" w:fill="D9E2F3"/>
          </w:tcPr>
          <w:p>
            <w:pPr>
              <w:keepNext/>
              <w:spacing w:after="0"/>
            </w:pPr>
            <w:r>
              <w:rPr>
                <w:b/>
                <w:sz w:val="17"/>
              </w:rPr>
              <w:t>Answer and limits</w:t>
            </w:r>
          </w:p>
        </w:tc>
        <w:tc>
          <w:tcPr>
            <w:tcW w:type="dxa" w:w="1256"/>
            <w:shd w:val="clear" w:color="auto" w:fill="D9E2F3"/>
          </w:tcPr>
          <w:p>
            <w:pPr>
              <w:keepNext/>
              <w:spacing w:after="0"/>
            </w:pPr>
            <w:r>
              <w:rPr>
                <w:b/>
                <w:sz w:val="17"/>
              </w:rPr>
              <w:t>Flow IDs affected</w:t>
            </w:r>
          </w:p>
        </w:tc>
      </w:tr>
      <w:tr>
        <w:trPr>
          <w:cantSplit w:val="true"/>
          <w:trHeight w:val="461"/>
        </w:trPr>
        <w:tc>
          <w:tcPr>
            <w:tcW w:type="dxa" w:w="5026"/>
          </w:tcPr>
          <w:p>
            <w:pPr>
              <w:keepNext/>
              <w:spacing w:after="0"/>
            </w:pPr>
          </w:p>
        </w:tc>
        <w:tc>
          <w:tcPr>
            <w:tcW w:type="dxa" w:w="2513"/>
          </w:tcPr>
          <w:p>
            <w:pPr>
              <w:keepNext/>
              <w:spacing w:after="0"/>
            </w:pPr>
          </w:p>
        </w:tc>
        <w:tc>
          <w:tcPr>
            <w:tcW w:type="dxa" w:w="5026"/>
          </w:tcPr>
          <w:p>
            <w:pPr>
              <w:keepNext/>
              <w:spacing w:after="0"/>
            </w:pPr>
          </w:p>
        </w:tc>
        <w:tc>
          <w:tcPr>
            <w:tcW w:type="dxa" w:w="1256"/>
          </w:tcPr>
          <w:p>
            <w:pPr>
              <w:keepNext/>
              <w:spacing w:after="0"/>
            </w:pPr>
          </w:p>
        </w:tc>
      </w:tr>
      <w:tr>
        <w:trPr>
          <w:cantSplit w:val="true"/>
          <w:trHeight w:val="461"/>
        </w:trPr>
        <w:tc>
          <w:tcPr>
            <w:tcW w:type="dxa" w:w="5026"/>
          </w:tcPr>
          <w:p>
            <w:pPr>
              <w:keepNext/>
              <w:spacing w:after="0"/>
            </w:pPr>
          </w:p>
        </w:tc>
        <w:tc>
          <w:tcPr>
            <w:tcW w:type="dxa" w:w="2513"/>
          </w:tcPr>
          <w:p>
            <w:pPr>
              <w:keepNext/>
              <w:spacing w:after="0"/>
            </w:pPr>
          </w:p>
        </w:tc>
        <w:tc>
          <w:tcPr>
            <w:tcW w:type="dxa" w:w="5026"/>
          </w:tcPr>
          <w:p>
            <w:pPr>
              <w:keepNext/>
              <w:spacing w:after="0"/>
            </w:pPr>
          </w:p>
        </w:tc>
        <w:tc>
          <w:tcPr>
            <w:tcW w:type="dxa" w:w="1256"/>
          </w:tcPr>
          <w:p>
            <w:pPr>
              <w:keepNext/>
              <w:spacing w:after="0"/>
            </w:pPr>
          </w:p>
        </w:tc>
      </w:tr>
      <w:tr>
        <w:trPr>
          <w:cantSplit w:val="true"/>
          <w:trHeight w:val="461"/>
        </w:trPr>
        <w:tc>
          <w:tcPr>
            <w:tcW w:type="dxa" w:w="5026"/>
          </w:tcPr>
          <w:p>
            <w:pPr>
              <w:keepNext/>
              <w:spacing w:after="0"/>
            </w:pPr>
          </w:p>
        </w:tc>
        <w:tc>
          <w:tcPr>
            <w:tcW w:type="dxa" w:w="2513"/>
          </w:tcPr>
          <w:p>
            <w:pPr>
              <w:keepNext/>
              <w:spacing w:after="0"/>
            </w:pPr>
          </w:p>
        </w:tc>
        <w:tc>
          <w:tcPr>
            <w:tcW w:type="dxa" w:w="5026"/>
          </w:tcPr>
          <w:p>
            <w:pPr>
              <w:keepNext/>
              <w:spacing w:after="0"/>
            </w:pPr>
          </w:p>
        </w:tc>
        <w:tc>
          <w:tcPr>
            <w:tcW w:type="dxa" w:w="1256"/>
          </w:tcPr>
          <w:p>
            <w:pPr>
              <w:keepNext/>
              <w:spacing w:after="0"/>
            </w:pPr>
          </w:p>
        </w:tc>
      </w:tr>
      <w:tr>
        <w:trPr>
          <w:cantSplit w:val="true"/>
          <w:trHeight w:val="461"/>
        </w:trPr>
        <w:tc>
          <w:tcPr>
            <w:tcW w:type="dxa" w:w="5026"/>
          </w:tcPr>
          <w:p>
            <w:pPr>
              <w:spacing w:after="0"/>
            </w:pPr>
          </w:p>
        </w:tc>
        <w:tc>
          <w:tcPr>
            <w:tcW w:type="dxa" w:w="2513"/>
          </w:tcPr>
          <w:p>
            <w:pPr>
              <w:spacing w:after="0"/>
            </w:pPr>
          </w:p>
        </w:tc>
        <w:tc>
          <w:tcPr>
            <w:tcW w:type="dxa" w:w="5026"/>
          </w:tcPr>
          <w:p>
            <w:pPr>
              <w:spacing w:after="0"/>
            </w:pPr>
          </w:p>
        </w:tc>
        <w:tc>
          <w:tcPr>
            <w:tcW w:type="dxa" w:w="1256"/>
          </w:tcPr>
          <w:p>
            <w:pPr>
              <w:spacing w:after="0"/>
            </w:pPr>
          </w:p>
        </w:tc>
      </w:tr>
    </w:tbl>
    <w:p>
      <w:pPr>
        <w:spacing w:after="4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Network Privacy Officer</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Privacy Officer of each disclosing entity (separate entities)</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F-905-01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F-905-01 Cross-Entity Data Flow Register</w:t>
          </w:r>
        </w:p>
      </w:tc>
      <w:tc>
        <w:tcPr>
          <w:tcW w:type="dxa" w:w="4147"/>
        </w:tcPr>
        <w:p>
          <w:pPr>
            <w:jc w:val="right"/>
          </w:pPr>
          <w:r>
            <w:rPr>
              <w:b w:val="0"/>
              <w:color w:val="404040"/>
              <w:sz w:val="17"/>
            </w:rPr>
            <w:t>Ref: SOP-N6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F-905-01 Cross-Entity Data Flow Register</dc:title>
  <dc:subject>Form</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