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Member Site Performance and Quality Scorecard</w:t>
      </w:r>
    </w:p>
    <w:p>
      <w:r>
        <w:rPr>
          <w:b/>
          <w:sz w:val="18"/>
        </w:rPr>
        <w:t xml:space="preserve">Purpose: </w:t>
      </w:r>
      <w:r>
        <w:rPr>
          <w:b w:val="0"/>
          <w:sz w:val="18"/>
        </w:rPr>
        <w:t>Model N only. Shows one member site's network quality metrics for the period against target and thresholds, with prior period, network median and trend, any operational metrics, the escalation tier, the audit risk rank, and the scorecard review with the site and its PIs.</w:t>
      </w:r>
    </w:p>
    <w:p>
      <w:pPr>
        <w:spacing w:after="0"/>
      </w:pPr>
      <w:r>
        <w:rPr>
          <w:b/>
          <w:sz w:val="18"/>
        </w:rPr>
        <w:t>Instructions</w:t>
      </w:r>
    </w:p>
    <w:p>
      <w:pPr>
        <w:pStyle w:val="ListBullet"/>
        <w:spacing w:after="0"/>
      </w:pPr>
      <w:r>
        <w:rPr>
          <w:b w:val="0"/>
          <w:sz w:val="18"/>
        </w:rPr>
        <w:t>The Network Quality Lead compiles one scorecard per member site each quarter using the definitions in SOP-N4 5.3.1. Do not change a definition on this form.</w:t>
      </w:r>
    </w:p>
    <w:p>
      <w:pPr>
        <w:pStyle w:val="ListBullet"/>
        <w:spacing w:after="0"/>
      </w:pPr>
      <w:r>
        <w:rPr>
          <w:b w:val="0"/>
          <w:sz w:val="18"/>
        </w:rPr>
        <w:t>Start-up time uses one start event and one end event for every site: final protocol received at the site, and study activation as SOP-03 defines it. Record the site selection notice date only as a secondary field.</w:t>
      </w:r>
    </w:p>
    <w:p>
      <w:pPr>
        <w:pStyle w:val="ListBullet"/>
        <w:spacing w:after="0"/>
      </w:pPr>
      <w:r>
        <w:rPr>
          <w:b w:val="0"/>
          <w:sz w:val="18"/>
        </w:rPr>
        <w:t>The enrollment target is recorded once per study at activation by the Network Clinical Operations Lead: the CTA enrollment commitment prorated by month or, where the CTA sets none, the PI-approved expected estimate on F-200-01 prorated.</w:t>
      </w:r>
    </w:p>
    <w:p>
      <w:pPr>
        <w:pStyle w:val="ListBullet"/>
        <w:spacing w:after="0"/>
      </w:pPr>
      <w:r>
        <w:rPr>
          <w:b w:val="0"/>
          <w:sz w:val="18"/>
        </w:rPr>
        <w:t xml:space="preserve">Send the draft to the Site Director, who may correct data errors within </w:t>
      </w:r>
      <w:r>
        <w:rPr>
          <w:b w:val="0"/>
          <w:sz w:val="18"/>
          <w:highlight w:val="green"/>
        </w:rPr>
        <w:t>[DEFAULT: 5 business days]</w:t>
      </w:r>
      <w:r>
        <w:rPr>
          <w:b w:val="0"/>
          <w:sz w:val="18"/>
        </w:rPr>
        <w:t xml:space="preserve"> (SOP-N4 5.4.1).</w:t>
      </w:r>
    </w:p>
    <w:p>
      <w:pPr>
        <w:pStyle w:val="ListBullet"/>
        <w:spacing w:after="0"/>
      </w:pPr>
      <w:r>
        <w:rPr>
          <w:b w:val="0"/>
          <w:sz w:val="18"/>
        </w:rPr>
        <w:t xml:space="preserve">Data contain no names, medical record numbers or other direct identifiers. This scorecard goes only to the site and the Network Office. Any copy or pack shared beyond them, including Network Quality Committee packs, suppresses each count below </w:t>
      </w:r>
      <w:r>
        <w:rPr>
          <w:b w:val="0"/>
          <w:sz w:val="18"/>
          <w:highlight w:val="green"/>
        </w:rPr>
        <w:t>[DEFAULT: 11]</w:t>
      </w:r>
      <w:r>
        <w:rPr>
          <w:b w:val="0"/>
          <w:sz w:val="18"/>
        </w:rPr>
        <w:t xml:space="preserve"> and any rate built on it (SOP-N6 5.6.1).</w:t>
      </w:r>
    </w:p>
    <w:p>
      <w:pPr>
        <w:pStyle w:val="ListBullet"/>
        <w:spacing w:after="0"/>
      </w:pPr>
      <w:r>
        <w:rPr>
          <w:b w:val="0"/>
          <w:sz w:val="18"/>
        </w:rPr>
        <w:t>A metric outside a threshold is a reason to look, not a finding. Part 1 columns: Tier 1 = review level, Tier 2 = escalation level, Med. = network median. Trend: up, down or flat; say whether the change is better or worse.</w:t>
      </w:r>
    </w:p>
    <w:p>
      <w:pPr>
        <w:pStyle w:val="ListBullet"/>
        <w:spacing w:after="0"/>
      </w:pPr>
      <w:r>
        <w:rPr>
          <w:b w:val="0"/>
          <w:sz w:val="18"/>
        </w:rPr>
        <w:t>Operational metrics (Part 1b) are added only by a dated Network Executive memo, use one definition at every site, never set a tier, and are never used to pressure enrollment or reporting (SOP-N4 5.3.4).</w:t>
      </w:r>
    </w:p>
    <w:p>
      <w:pPr>
        <w:pStyle w:val="ListBullet"/>
        <w:spacing w:after="0"/>
      </w:pPr>
      <w:r>
        <w:rPr>
          <w:b w:val="0"/>
          <w:sz w:val="18"/>
        </w:rPr>
        <w:t xml:space="preserve">Review the scorecard with the Site Director, Site Quality Lead and PIs within </w:t>
      </w:r>
      <w:r>
        <w:rPr>
          <w:b w:val="0"/>
          <w:sz w:val="18"/>
          <w:highlight w:val="green"/>
        </w:rPr>
        <w:t>[DEFAULT: 30 calendar days]</w:t>
      </w:r>
      <w:r>
        <w:rPr>
          <w:b w:val="0"/>
          <w:sz w:val="18"/>
        </w:rPr>
        <w:t xml:space="preserve"> of quarter end. Each PI reviews and signs the results for the PI's studies (SOP-N4 5.4.2).</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Member site</w:t>
            </w:r>
          </w:p>
        </w:tc>
        <w:tc>
          <w:tcPr>
            <w:tcW w:type="dxa" w:w="2447"/>
          </w:tcPr>
          <w:p/>
        </w:tc>
        <w:tc>
          <w:tcPr>
            <w:tcW w:type="dxa" w:w="2160"/>
            <w:shd w:val="clear" w:color="auto" w:fill="D9E2F3"/>
          </w:tcPr>
          <w:p>
            <w:pPr>
              <w:spacing w:after="0"/>
            </w:pPr>
            <w:r>
              <w:rPr>
                <w:b/>
                <w:sz w:val="17"/>
              </w:rPr>
              <w:t>Entity type (a, b or c)</w:t>
            </w:r>
          </w:p>
        </w:tc>
        <w:tc>
          <w:tcPr>
            <w:tcW w:type="dxa" w:w="2447"/>
          </w:tcPr>
          <w:p/>
        </w:tc>
        <w:tc>
          <w:tcPr>
            <w:tcW w:type="dxa" w:w="2160"/>
            <w:shd w:val="clear" w:color="auto" w:fill="D9E2F3"/>
          </w:tcPr>
          <w:p>
            <w:pPr>
              <w:spacing w:after="0"/>
            </w:pPr>
            <w:r>
              <w:rPr>
                <w:b/>
                <w:sz w:val="17"/>
              </w:rPr>
              <w:t>Period</w:t>
            </w:r>
          </w:p>
        </w:tc>
        <w:tc>
          <w:tcPr>
            <w:tcW w:type="dxa" w:w="2447"/>
          </w:tcPr>
          <w:p/>
        </w:tc>
      </w:tr>
      <w:tr>
        <w:trPr>
          <w:trHeight w:val="432"/>
        </w:trPr>
        <w:tc>
          <w:tcPr>
            <w:tcW w:type="dxa" w:w="2160"/>
            <w:shd w:val="clear" w:color="auto" w:fill="D9E2F3"/>
          </w:tcPr>
          <w:p>
            <w:pPr>
              <w:spacing w:after="0"/>
            </w:pPr>
            <w:r>
              <w:rPr>
                <w:b/>
                <w:sz w:val="17"/>
              </w:rPr>
              <w:t>Compiled by</w:t>
            </w:r>
          </w:p>
        </w:tc>
        <w:tc>
          <w:tcPr>
            <w:tcW w:type="dxa" w:w="2447"/>
          </w:tcPr>
          <w:p/>
        </w:tc>
        <w:tc>
          <w:tcPr>
            <w:tcW w:type="dxa" w:w="2160"/>
            <w:shd w:val="clear" w:color="auto" w:fill="D9E2F3"/>
          </w:tcPr>
          <w:p>
            <w:pPr>
              <w:spacing w:after="0"/>
            </w:pPr>
            <w:r>
              <w:rPr>
                <w:b/>
                <w:sz w:val="17"/>
              </w:rPr>
              <w:t>Date compiled</w:t>
            </w:r>
          </w:p>
        </w:tc>
        <w:tc>
          <w:tcPr>
            <w:tcW w:type="dxa" w:w="2447"/>
          </w:tcPr>
          <w:p/>
        </w:tc>
        <w:tc>
          <w:tcPr>
            <w:tcW w:type="dxa" w:w="2160"/>
            <w:shd w:val="clear" w:color="auto" w:fill="D9E2F3"/>
          </w:tcPr>
          <w:p>
            <w:pPr>
              <w:spacing w:after="0"/>
            </w:pPr>
            <w:r>
              <w:rPr>
                <w:b/>
                <w:sz w:val="17"/>
              </w:rPr>
              <w:t>Data source (shared systems or site submission)</w:t>
            </w:r>
          </w:p>
        </w:tc>
        <w:tc>
          <w:tcPr>
            <w:tcW w:type="dxa" w:w="2447"/>
          </w:tcPr>
          <w:p/>
        </w:tc>
      </w:tr>
    </w:tbl>
    <w:p>
      <w:pPr>
        <w:spacing w:after="0"/>
      </w:pPr>
    </w:p>
    <w:p>
      <w:pPr>
        <w:pStyle w:val="Heading2"/>
      </w:pPr>
      <w:r>
        <w:t>Part 1. Site quality metrics</w:t>
      </w:r>
    </w:p>
    <w:tbl>
      <w:tblPr>
        <w:tblStyle w:val="TableGrid"/>
        <w:tblW w:type="auto" w:w="0"/>
        <w:jc w:val="left"/>
        <w:tblLayout w:type="fixed"/>
        <w:tblLook w:firstColumn="1" w:firstRow="1" w:lastColumn="0" w:lastRow="0" w:noHBand="0" w:noVBand="1" w:val="04A0"/>
      </w:tblPr>
      <w:tblGrid>
        <w:gridCol w:w="6192"/>
        <w:gridCol w:w="720"/>
        <w:gridCol w:w="720"/>
        <w:gridCol w:w="720"/>
        <w:gridCol w:w="720"/>
        <w:gridCol w:w="720"/>
        <w:gridCol w:w="720"/>
        <w:gridCol w:w="720"/>
        <w:gridCol w:w="2592"/>
      </w:tblGrid>
      <w:tr>
        <w:trPr>
          <w:tblHeader w:val="true"/>
        </w:trPr>
        <w:tc>
          <w:tcPr>
            <w:tcW w:type="dxa" w:w="6192"/>
            <w:shd w:val="clear" w:color="auto" w:fill="D9E2F3"/>
          </w:tcPr>
          <w:p>
            <w:pPr>
              <w:spacing w:after="0"/>
            </w:pPr>
            <w:r>
              <w:rPr>
                <w:b/>
                <w:sz w:val="17"/>
              </w:rPr>
              <w:t>Item</w:t>
            </w:r>
          </w:p>
        </w:tc>
        <w:tc>
          <w:tcPr>
            <w:tcW w:type="dxa" w:w="720"/>
            <w:shd w:val="clear" w:color="auto" w:fill="D9E2F3"/>
          </w:tcPr>
          <w:p>
            <w:pPr>
              <w:spacing w:after="0"/>
            </w:pPr>
            <w:r>
              <w:rPr>
                <w:b/>
                <w:sz w:val="17"/>
              </w:rPr>
              <w:t>Target</w:t>
            </w:r>
          </w:p>
        </w:tc>
        <w:tc>
          <w:tcPr>
            <w:tcW w:type="dxa" w:w="720"/>
            <w:shd w:val="clear" w:color="auto" w:fill="D9E2F3"/>
          </w:tcPr>
          <w:p>
            <w:pPr>
              <w:spacing w:after="0"/>
            </w:pPr>
            <w:r>
              <w:rPr>
                <w:b/>
                <w:sz w:val="17"/>
              </w:rPr>
              <w:t>Tier 1</w:t>
            </w:r>
          </w:p>
        </w:tc>
        <w:tc>
          <w:tcPr>
            <w:tcW w:type="dxa" w:w="720"/>
            <w:shd w:val="clear" w:color="auto" w:fill="D9E2F3"/>
          </w:tcPr>
          <w:p>
            <w:pPr>
              <w:spacing w:after="0"/>
            </w:pPr>
            <w:r>
              <w:rPr>
                <w:b/>
                <w:sz w:val="17"/>
              </w:rPr>
              <w:t>Tier 2</w:t>
            </w:r>
          </w:p>
        </w:tc>
        <w:tc>
          <w:tcPr>
            <w:tcW w:type="dxa" w:w="720"/>
            <w:shd w:val="clear" w:color="auto" w:fill="D9E2F3"/>
          </w:tcPr>
          <w:p>
            <w:pPr>
              <w:spacing w:after="0"/>
            </w:pPr>
            <w:r>
              <w:rPr>
                <w:b/>
                <w:sz w:val="17"/>
              </w:rPr>
              <w:t>This period</w:t>
            </w:r>
          </w:p>
        </w:tc>
        <w:tc>
          <w:tcPr>
            <w:tcW w:type="dxa" w:w="720"/>
            <w:shd w:val="clear" w:color="auto" w:fill="D9E2F3"/>
          </w:tcPr>
          <w:p>
            <w:pPr>
              <w:spacing w:after="0"/>
            </w:pPr>
            <w:r>
              <w:rPr>
                <w:b/>
                <w:sz w:val="17"/>
              </w:rPr>
              <w:t>Prior period</w:t>
            </w:r>
          </w:p>
        </w:tc>
        <w:tc>
          <w:tcPr>
            <w:tcW w:type="dxa" w:w="720"/>
            <w:shd w:val="clear" w:color="auto" w:fill="D9E2F3"/>
          </w:tcPr>
          <w:p>
            <w:pPr>
              <w:spacing w:after="0"/>
            </w:pPr>
            <w:r>
              <w:rPr>
                <w:b/>
                <w:sz w:val="17"/>
              </w:rPr>
              <w:t>Med.</w:t>
            </w:r>
          </w:p>
        </w:tc>
        <w:tc>
          <w:tcPr>
            <w:tcW w:type="dxa" w:w="720"/>
            <w:shd w:val="clear" w:color="auto" w:fill="D9E2F3"/>
          </w:tcPr>
          <w:p>
            <w:pPr>
              <w:spacing w:after="0"/>
            </w:pPr>
            <w:r>
              <w:rPr>
                <w:b/>
                <w:sz w:val="17"/>
              </w:rPr>
              <w:t>Trend</w:t>
            </w:r>
          </w:p>
        </w:tc>
        <w:tc>
          <w:tcPr>
            <w:tcW w:type="dxa" w:w="2592"/>
            <w:shd w:val="clear" w:color="auto" w:fill="D9E2F3"/>
          </w:tcPr>
          <w:p>
            <w:pPr>
              <w:spacing w:after="0"/>
            </w:pPr>
            <w:r>
              <w:rPr>
                <w:b/>
                <w:sz w:val="17"/>
              </w:rPr>
              <w:t>Comment</w:t>
            </w:r>
          </w:p>
        </w:tc>
      </w:tr>
      <w:tr>
        <w:trPr>
          <w:cantSplit w:val="true"/>
          <w:trHeight w:val="403"/>
        </w:trPr>
        <w:tc>
          <w:tcPr>
            <w:tcW w:type="dxa" w:w="6192"/>
          </w:tcPr>
          <w:p>
            <w:pPr>
              <w:spacing w:after="0"/>
            </w:pPr>
            <w:r>
              <w:rPr>
                <w:b w:val="0"/>
                <w:sz w:val="17"/>
              </w:rPr>
              <w:t>Start-up time: calendar days from receipt of the final protocol at the site to study activation (F-205-01 approved and sponsor written notice that the site may enroll, SOP-03), median and range (F-205-01). Site selection notice date is recorded in Part 6 only and not used</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Enrollment against target: enrolled or randomized in period divided by the period target (CTA commitment prorated, or PI-approved expected estimate on F-200-01 prorated), by study (F-303-01)</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Screen-fail rate: consented and not enrolled for eligibility divided by all consented who completed screening (F-303-01)</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Deviation rate: deviations in period per enrolled participant on study (F-308-01)</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Important deviation rate: important deviations in period per enrolled participant on study (F-308-01)</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 xml:space="preserve">Query aging: number and percent of open EDC queries older than </w:t>
            </w:r>
            <w:r>
              <w:rPr>
                <w:b w:val="0"/>
                <w:sz w:val="17"/>
                <w:highlight w:val="green"/>
              </w:rPr>
              <w:t>[DEFAULT: 30 calendar days]</w:t>
            </w:r>
            <w:r>
              <w:rPr>
                <w:b w:val="0"/>
                <w:sz w:val="17"/>
              </w:rPr>
              <w:t xml:space="preserve"> at period end (sponsor EDC)</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SAE reporting timeliness: SAEs reported within protocol timeline divided by all SAEs reported (F-501-01)</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Consent error rate: consents with a major or critical QC finding divided by consents reviewed (F-301-01; F-700-01)</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Aged monitoring actions: actions open more than 30 calendar days past due at period end (F-600-02)</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Training compliance: staff with all required training current divided by active research staff (F-103-01)</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6192"/>
          </w:tcPr>
          <w:p>
            <w:pPr>
              <w:spacing w:after="0"/>
            </w:pPr>
            <w:r>
              <w:rPr>
                <w:b w:val="0"/>
                <w:sz w:val="17"/>
              </w:rPr>
              <w:t>CAPA on-time closure: CAPAs closed by due date divided by CAPAs due in period (F-703-02)</w:t>
            </w: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bl>
    <w:p>
      <w:pPr>
        <w:spacing w:after="40"/>
      </w:pPr>
    </w:p>
    <w:p>
      <w:pPr>
        <w:pStyle w:val="Heading2"/>
      </w:pPr>
      <w:r>
        <w:t>Part 1b. Operational metrics added by Network Executive memo (SOP-N4 5.3.4)</w:t>
      </w:r>
    </w:p>
    <w:tbl>
      <w:tblPr>
        <w:tblStyle w:val="TableGrid"/>
        <w:tblW w:type="auto" w:w="0"/>
        <w:jc w:val="left"/>
        <w:tblLayout w:type="fixed"/>
        <w:tblLook w:firstColumn="1" w:firstRow="1" w:lastColumn="0" w:lastRow="0" w:noHBand="0" w:noVBand="1" w:val="04A0"/>
      </w:tblPr>
      <w:tblGrid>
        <w:gridCol w:w="3770"/>
        <w:gridCol w:w="5026"/>
        <w:gridCol w:w="1256"/>
        <w:gridCol w:w="1256"/>
        <w:gridCol w:w="1256"/>
        <w:gridCol w:w="1256"/>
      </w:tblGrid>
      <w:tr>
        <w:trPr>
          <w:tblHeader w:val="true"/>
        </w:trPr>
        <w:tc>
          <w:tcPr>
            <w:tcW w:type="dxa" w:w="3770"/>
            <w:shd w:val="clear" w:color="auto" w:fill="D9E2F3"/>
          </w:tcPr>
          <w:p>
            <w:pPr>
              <w:keepNext/>
              <w:spacing w:after="0"/>
            </w:pPr>
            <w:r>
              <w:rPr>
                <w:b/>
                <w:sz w:val="17"/>
              </w:rPr>
              <w:t>Operational metric</w:t>
            </w:r>
          </w:p>
        </w:tc>
        <w:tc>
          <w:tcPr>
            <w:tcW w:type="dxa" w:w="5026"/>
            <w:shd w:val="clear" w:color="auto" w:fill="D9E2F3"/>
          </w:tcPr>
          <w:p>
            <w:pPr>
              <w:keepNext/>
              <w:spacing w:after="0"/>
            </w:pPr>
            <w:r>
              <w:rPr>
                <w:b/>
                <w:sz w:val="17"/>
              </w:rPr>
              <w:t>Definition</w:t>
            </w:r>
          </w:p>
        </w:tc>
        <w:tc>
          <w:tcPr>
            <w:tcW w:type="dxa" w:w="1256"/>
            <w:shd w:val="clear" w:color="auto" w:fill="D9E2F3"/>
          </w:tcPr>
          <w:p>
            <w:pPr>
              <w:keepNext/>
              <w:spacing w:after="0"/>
            </w:pPr>
            <w:r>
              <w:rPr>
                <w:b/>
                <w:sz w:val="17"/>
              </w:rPr>
              <w:t>Memo date</w:t>
            </w:r>
          </w:p>
        </w:tc>
        <w:tc>
          <w:tcPr>
            <w:tcW w:type="dxa" w:w="1256"/>
            <w:shd w:val="clear" w:color="auto" w:fill="D9E2F3"/>
          </w:tcPr>
          <w:p>
            <w:pPr>
              <w:keepNext/>
              <w:spacing w:after="0"/>
            </w:pPr>
            <w:r>
              <w:rPr>
                <w:b/>
                <w:sz w:val="17"/>
              </w:rPr>
              <w:t>This period</w:t>
            </w:r>
          </w:p>
        </w:tc>
        <w:tc>
          <w:tcPr>
            <w:tcW w:type="dxa" w:w="1256"/>
            <w:shd w:val="clear" w:color="auto" w:fill="D9E2F3"/>
          </w:tcPr>
          <w:p>
            <w:pPr>
              <w:keepNext/>
              <w:spacing w:after="0"/>
            </w:pPr>
            <w:r>
              <w:rPr>
                <w:b/>
                <w:sz w:val="17"/>
              </w:rPr>
              <w:t>Prior period</w:t>
            </w:r>
          </w:p>
        </w:tc>
        <w:tc>
          <w:tcPr>
            <w:tcW w:type="dxa" w:w="1256"/>
            <w:shd w:val="clear" w:color="auto" w:fill="D9E2F3"/>
          </w:tcPr>
          <w:p>
            <w:pPr>
              <w:keepNext/>
              <w:spacing w:after="0"/>
            </w:pPr>
            <w:r>
              <w:rPr>
                <w:b/>
                <w:sz w:val="17"/>
              </w:rPr>
              <w:t>Network median</w:t>
            </w:r>
          </w:p>
        </w:tc>
      </w:tr>
      <w:tr>
        <w:trPr>
          <w:cantSplit w:val="true"/>
          <w:trHeight w:val="461"/>
        </w:trPr>
        <w:tc>
          <w:tcPr>
            <w:tcW w:type="dxa" w:w="3770"/>
          </w:tcPr>
          <w:p>
            <w:pPr>
              <w:keepNext/>
              <w:spacing w:after="0"/>
            </w:pPr>
          </w:p>
        </w:tc>
        <w:tc>
          <w:tcPr>
            <w:tcW w:type="dxa" w:w="502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3770"/>
          </w:tcPr>
          <w:p>
            <w:pPr>
              <w:keepNext/>
              <w:spacing w:after="0"/>
            </w:pPr>
          </w:p>
        </w:tc>
        <w:tc>
          <w:tcPr>
            <w:tcW w:type="dxa" w:w="502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3770"/>
          </w:tcPr>
          <w:p>
            <w:pPr>
              <w:keepNext/>
              <w:spacing w:after="0"/>
            </w:pPr>
          </w:p>
        </w:tc>
        <w:tc>
          <w:tcPr>
            <w:tcW w:type="dxa" w:w="502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3770"/>
          </w:tcPr>
          <w:p>
            <w:pPr>
              <w:spacing w:after="0"/>
            </w:pPr>
          </w:p>
        </w:tc>
        <w:tc>
          <w:tcPr>
            <w:tcW w:type="dxa" w:w="502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bl>
    <w:p>
      <w:pPr>
        <w:spacing w:after="40"/>
      </w:pPr>
    </w:p>
    <w:p>
      <w:pPr>
        <w:pStyle w:val="Heading2"/>
      </w:pPr>
      <w:r>
        <w:t>Part 2. Study-level detail and PI review</w:t>
      </w:r>
    </w:p>
    <w:tbl>
      <w:tblPr>
        <w:tblStyle w:val="TableGrid"/>
        <w:tblW w:type="auto" w:w="0"/>
        <w:jc w:val="left"/>
        <w:tblLayout w:type="fixed"/>
        <w:tblLook w:firstColumn="1" w:firstRow="1" w:lastColumn="0" w:lastRow="0" w:noHBand="0" w:noVBand="1" w:val="04A0"/>
      </w:tblPr>
      <w:tblGrid>
        <w:gridCol w:w="1063"/>
        <w:gridCol w:w="2126"/>
        <w:gridCol w:w="1063"/>
        <w:gridCol w:w="1063"/>
        <w:gridCol w:w="1063"/>
        <w:gridCol w:w="1063"/>
        <w:gridCol w:w="1063"/>
        <w:gridCol w:w="1063"/>
        <w:gridCol w:w="2126"/>
        <w:gridCol w:w="2126"/>
      </w:tblGrid>
      <w:tr>
        <w:trPr>
          <w:tblHeader w:val="true"/>
        </w:trPr>
        <w:tc>
          <w:tcPr>
            <w:tcW w:type="dxa" w:w="1063"/>
            <w:shd w:val="clear" w:color="auto" w:fill="D9E2F3"/>
          </w:tcPr>
          <w:p>
            <w:pPr>
              <w:spacing w:after="0"/>
            </w:pPr>
            <w:r>
              <w:rPr>
                <w:b/>
                <w:sz w:val="17"/>
              </w:rPr>
              <w:t>Protocol</w:t>
            </w:r>
          </w:p>
        </w:tc>
        <w:tc>
          <w:tcPr>
            <w:tcW w:type="dxa" w:w="2126"/>
            <w:shd w:val="clear" w:color="auto" w:fill="D9E2F3"/>
          </w:tcPr>
          <w:p>
            <w:pPr>
              <w:spacing w:after="0"/>
            </w:pPr>
            <w:r>
              <w:rPr>
                <w:b/>
                <w:sz w:val="17"/>
              </w:rPr>
              <w:t>PI</w:t>
            </w:r>
          </w:p>
        </w:tc>
        <w:tc>
          <w:tcPr>
            <w:tcW w:type="dxa" w:w="1063"/>
            <w:shd w:val="clear" w:color="auto" w:fill="D9E2F3"/>
          </w:tcPr>
          <w:p>
            <w:pPr>
              <w:spacing w:after="0"/>
            </w:pPr>
            <w:r>
              <w:rPr>
                <w:b/>
                <w:sz w:val="17"/>
              </w:rPr>
              <w:t>Enrolled / target</w:t>
            </w:r>
          </w:p>
        </w:tc>
        <w:tc>
          <w:tcPr>
            <w:tcW w:type="dxa" w:w="1063"/>
            <w:shd w:val="clear" w:color="auto" w:fill="D9E2F3"/>
          </w:tcPr>
          <w:p>
            <w:pPr>
              <w:spacing w:after="0"/>
            </w:pPr>
            <w:r>
              <w:rPr>
                <w:b/>
                <w:sz w:val="17"/>
              </w:rPr>
              <w:t>Screen-fail rate</w:t>
            </w:r>
          </w:p>
        </w:tc>
        <w:tc>
          <w:tcPr>
            <w:tcW w:type="dxa" w:w="1063"/>
            <w:shd w:val="clear" w:color="auto" w:fill="D9E2F3"/>
          </w:tcPr>
          <w:p>
            <w:pPr>
              <w:spacing w:after="0"/>
            </w:pPr>
            <w:r>
              <w:rPr>
                <w:b/>
                <w:sz w:val="17"/>
              </w:rPr>
              <w:t>Important deviations</w:t>
            </w:r>
          </w:p>
        </w:tc>
        <w:tc>
          <w:tcPr>
            <w:tcW w:type="dxa" w:w="1063"/>
            <w:shd w:val="clear" w:color="auto" w:fill="D9E2F3"/>
          </w:tcPr>
          <w:p>
            <w:pPr>
              <w:spacing w:after="0"/>
            </w:pPr>
            <w:r>
              <w:rPr>
                <w:b/>
                <w:sz w:val="17"/>
              </w:rPr>
              <w:t>SAEs on time / total</w:t>
            </w:r>
          </w:p>
        </w:tc>
        <w:tc>
          <w:tcPr>
            <w:tcW w:type="dxa" w:w="1063"/>
            <w:shd w:val="clear" w:color="auto" w:fill="D9E2F3"/>
          </w:tcPr>
          <w:p>
            <w:pPr>
              <w:spacing w:after="0"/>
            </w:pPr>
            <w:r>
              <w:rPr>
                <w:b/>
                <w:sz w:val="17"/>
              </w:rPr>
              <w:t>Consent errors / reviewed</w:t>
            </w:r>
          </w:p>
        </w:tc>
        <w:tc>
          <w:tcPr>
            <w:tcW w:type="dxa" w:w="1063"/>
            <w:shd w:val="clear" w:color="auto" w:fill="D9E2F3"/>
          </w:tcPr>
          <w:p>
            <w:pPr>
              <w:spacing w:after="0"/>
            </w:pPr>
            <w:r>
              <w:rPr>
                <w:b/>
                <w:sz w:val="17"/>
              </w:rPr>
              <w:t>Open queries over 30 days</w:t>
            </w:r>
          </w:p>
        </w:tc>
        <w:tc>
          <w:tcPr>
            <w:tcW w:type="dxa" w:w="2126"/>
            <w:shd w:val="clear" w:color="auto" w:fill="D9E2F3"/>
          </w:tcPr>
          <w:p>
            <w:pPr>
              <w:spacing w:after="0"/>
            </w:pPr>
            <w:r>
              <w:rPr>
                <w:b/>
                <w:sz w:val="17"/>
              </w:rPr>
              <w:t>Comment</w:t>
            </w:r>
          </w:p>
        </w:tc>
        <w:tc>
          <w:tcPr>
            <w:tcW w:type="dxa" w:w="2126"/>
            <w:shd w:val="clear" w:color="auto" w:fill="D9E2F3"/>
          </w:tcPr>
          <w:p>
            <w:pPr>
              <w:spacing w:after="0"/>
            </w:pPr>
            <w:r>
              <w:rPr>
                <w:b/>
                <w:sz w:val="17"/>
              </w:rPr>
              <w:t>PI signature and date</w:t>
            </w: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r>
    </w:tbl>
    <w:p>
      <w:pPr>
        <w:spacing w:after="40"/>
      </w:pPr>
    </w:p>
    <w:p>
      <w:pPr>
        <w:pStyle w:val="Heading2"/>
      </w:pPr>
      <w:r>
        <w:t>Part 3. Tier</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Tier assigned (0 routine, 1 watch, 2 support, 3 intervention, 4 restriction)</w:t>
            </w:r>
          </w:p>
        </w:tc>
        <w:tc>
          <w:tcPr>
            <w:tcW w:type="dxa" w:w="2447"/>
          </w:tcPr>
          <w:p/>
        </w:tc>
        <w:tc>
          <w:tcPr>
            <w:tcW w:type="dxa" w:w="2160"/>
            <w:shd w:val="clear" w:color="auto" w:fill="D9E2F3"/>
          </w:tcPr>
          <w:p>
            <w:pPr>
              <w:spacing w:after="0"/>
            </w:pPr>
            <w:r>
              <w:rPr>
                <w:b/>
                <w:sz w:val="17"/>
              </w:rPr>
              <w:t>Trigger</w:t>
            </w:r>
          </w:p>
        </w:tc>
        <w:tc>
          <w:tcPr>
            <w:tcW w:type="dxa" w:w="2447"/>
          </w:tcPr>
          <w:p/>
        </w:tc>
        <w:tc>
          <w:tcPr>
            <w:tcW w:type="dxa" w:w="2160"/>
            <w:shd w:val="clear" w:color="auto" w:fill="D9E2F3"/>
          </w:tcPr>
          <w:p>
            <w:pPr>
              <w:spacing w:after="0"/>
            </w:pPr>
            <w:r>
              <w:rPr>
                <w:b/>
                <w:sz w:val="17"/>
              </w:rPr>
              <w:t>F-903-02 opened (date and number)</w:t>
            </w:r>
          </w:p>
        </w:tc>
        <w:tc>
          <w:tcPr>
            <w:tcW w:type="dxa" w:w="2447"/>
          </w:tcPr>
          <w:p/>
        </w:tc>
      </w:tr>
      <w:tr>
        <w:trPr>
          <w:trHeight w:val="432"/>
        </w:trPr>
        <w:tc>
          <w:tcPr>
            <w:tcW w:type="dxa" w:w="2160"/>
            <w:shd w:val="clear" w:color="auto" w:fill="D9E2F3"/>
          </w:tcPr>
          <w:p>
            <w:pPr>
              <w:spacing w:after="0"/>
            </w:pPr>
            <w:r>
              <w:rPr>
                <w:b/>
                <w:sz w:val="17"/>
              </w:rPr>
              <w:t>Data corrections made by site (date and reason)</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4. Scorecard review (may serve as the site's SOP-14 quarterly quality review)</w:t>
      </w:r>
    </w:p>
    <w:tbl>
      <w:tblPr>
        <w:tblStyle w:val="TableGrid"/>
        <w:tblW w:type="auto" w:w="0"/>
        <w:jc w:val="left"/>
        <w:tblLayout w:type="fixed"/>
        <w:tblLook w:firstColumn="1" w:firstRow="1" w:lastColumn="0" w:lastRow="0" w:noHBand="0" w:noVBand="1" w:val="04A0"/>
      </w:tblPr>
      <w:tblGrid>
        <w:gridCol w:w="987"/>
        <w:gridCol w:w="2962"/>
        <w:gridCol w:w="3949"/>
        <w:gridCol w:w="2962"/>
        <w:gridCol w:w="1974"/>
        <w:gridCol w:w="987"/>
      </w:tblGrid>
      <w:tr>
        <w:trPr>
          <w:tblHeader w:val="true"/>
        </w:trPr>
        <w:tc>
          <w:tcPr>
            <w:tcW w:type="dxa" w:w="987"/>
            <w:shd w:val="clear" w:color="auto" w:fill="D9E2F3"/>
          </w:tcPr>
          <w:p>
            <w:pPr>
              <w:keepNext/>
              <w:spacing w:after="0"/>
            </w:pPr>
            <w:r>
              <w:rPr>
                <w:b/>
                <w:sz w:val="17"/>
              </w:rPr>
              <w:t>Review date</w:t>
            </w:r>
          </w:p>
        </w:tc>
        <w:tc>
          <w:tcPr>
            <w:tcW w:type="dxa" w:w="2962"/>
            <w:shd w:val="clear" w:color="auto" w:fill="D9E2F3"/>
          </w:tcPr>
          <w:p>
            <w:pPr>
              <w:keepNext/>
              <w:spacing w:after="0"/>
            </w:pPr>
            <w:r>
              <w:rPr>
                <w:b/>
                <w:sz w:val="17"/>
              </w:rPr>
              <w:t>Attendees</w:t>
            </w:r>
          </w:p>
        </w:tc>
        <w:tc>
          <w:tcPr>
            <w:tcW w:type="dxa" w:w="3949"/>
            <w:shd w:val="clear" w:color="auto" w:fill="D9E2F3"/>
          </w:tcPr>
          <w:p>
            <w:pPr>
              <w:keepNext/>
              <w:spacing w:after="0"/>
            </w:pPr>
            <w:r>
              <w:rPr>
                <w:b/>
                <w:sz w:val="17"/>
              </w:rPr>
              <w:t>Notes</w:t>
            </w:r>
          </w:p>
        </w:tc>
        <w:tc>
          <w:tcPr>
            <w:tcW w:type="dxa" w:w="2962"/>
            <w:shd w:val="clear" w:color="auto" w:fill="D9E2F3"/>
          </w:tcPr>
          <w:p>
            <w:pPr>
              <w:keepNext/>
              <w:spacing w:after="0"/>
            </w:pPr>
            <w:r>
              <w:rPr>
                <w:b/>
                <w:sz w:val="17"/>
              </w:rPr>
              <w:t>Agreed action</w:t>
            </w:r>
          </w:p>
        </w:tc>
        <w:tc>
          <w:tcPr>
            <w:tcW w:type="dxa" w:w="1974"/>
            <w:shd w:val="clear" w:color="auto" w:fill="D9E2F3"/>
          </w:tcPr>
          <w:p>
            <w:pPr>
              <w:keepNext/>
              <w:spacing w:after="0"/>
            </w:pPr>
            <w:r>
              <w:rPr>
                <w:b/>
                <w:sz w:val="17"/>
              </w:rPr>
              <w:t>Owner</w:t>
            </w:r>
          </w:p>
        </w:tc>
        <w:tc>
          <w:tcPr>
            <w:tcW w:type="dxa" w:w="987"/>
            <w:shd w:val="clear" w:color="auto" w:fill="D9E2F3"/>
          </w:tcPr>
          <w:p>
            <w:pPr>
              <w:keepNext/>
              <w:spacing w:after="0"/>
            </w:pPr>
            <w:r>
              <w:rPr>
                <w:b/>
                <w:sz w:val="17"/>
              </w:rPr>
              <w:t>Due</w:t>
            </w:r>
          </w:p>
        </w:tc>
      </w:tr>
      <w:tr>
        <w:trPr>
          <w:cantSplit w:val="true"/>
          <w:trHeight w:val="461"/>
        </w:trPr>
        <w:tc>
          <w:tcPr>
            <w:tcW w:type="dxa" w:w="987"/>
          </w:tcPr>
          <w:p>
            <w:pPr>
              <w:keepNext/>
              <w:spacing w:after="0"/>
            </w:pPr>
          </w:p>
        </w:tc>
        <w:tc>
          <w:tcPr>
            <w:tcW w:type="dxa" w:w="2962"/>
          </w:tcPr>
          <w:p>
            <w:pPr>
              <w:keepNext/>
              <w:spacing w:after="0"/>
            </w:pPr>
          </w:p>
        </w:tc>
        <w:tc>
          <w:tcPr>
            <w:tcW w:type="dxa" w:w="3949"/>
          </w:tcPr>
          <w:p>
            <w:pPr>
              <w:keepNext/>
              <w:spacing w:after="0"/>
            </w:pPr>
          </w:p>
        </w:tc>
        <w:tc>
          <w:tcPr>
            <w:tcW w:type="dxa" w:w="2962"/>
          </w:tcPr>
          <w:p>
            <w:pPr>
              <w:keepNext/>
              <w:spacing w:after="0"/>
            </w:pPr>
          </w:p>
        </w:tc>
        <w:tc>
          <w:tcPr>
            <w:tcW w:type="dxa" w:w="1974"/>
          </w:tcPr>
          <w:p>
            <w:pPr>
              <w:keepNext/>
              <w:spacing w:after="0"/>
            </w:pPr>
          </w:p>
        </w:tc>
        <w:tc>
          <w:tcPr>
            <w:tcW w:type="dxa" w:w="987"/>
          </w:tcPr>
          <w:p>
            <w:pPr>
              <w:keepNext/>
              <w:spacing w:after="0"/>
            </w:pPr>
          </w:p>
        </w:tc>
      </w:tr>
      <w:tr>
        <w:trPr>
          <w:cantSplit w:val="true"/>
          <w:trHeight w:val="461"/>
        </w:trPr>
        <w:tc>
          <w:tcPr>
            <w:tcW w:type="dxa" w:w="987"/>
          </w:tcPr>
          <w:p>
            <w:pPr>
              <w:keepNext/>
              <w:spacing w:after="0"/>
            </w:pPr>
          </w:p>
        </w:tc>
        <w:tc>
          <w:tcPr>
            <w:tcW w:type="dxa" w:w="2962"/>
          </w:tcPr>
          <w:p>
            <w:pPr>
              <w:keepNext/>
              <w:spacing w:after="0"/>
            </w:pPr>
          </w:p>
        </w:tc>
        <w:tc>
          <w:tcPr>
            <w:tcW w:type="dxa" w:w="3949"/>
          </w:tcPr>
          <w:p>
            <w:pPr>
              <w:keepNext/>
              <w:spacing w:after="0"/>
            </w:pPr>
          </w:p>
        </w:tc>
        <w:tc>
          <w:tcPr>
            <w:tcW w:type="dxa" w:w="2962"/>
          </w:tcPr>
          <w:p>
            <w:pPr>
              <w:keepNext/>
              <w:spacing w:after="0"/>
            </w:pPr>
          </w:p>
        </w:tc>
        <w:tc>
          <w:tcPr>
            <w:tcW w:type="dxa" w:w="1974"/>
          </w:tcPr>
          <w:p>
            <w:pPr>
              <w:keepNext/>
              <w:spacing w:after="0"/>
            </w:pPr>
          </w:p>
        </w:tc>
        <w:tc>
          <w:tcPr>
            <w:tcW w:type="dxa" w:w="987"/>
          </w:tcPr>
          <w:p>
            <w:pPr>
              <w:keepNext/>
              <w:spacing w:after="0"/>
            </w:pPr>
          </w:p>
        </w:tc>
      </w:tr>
      <w:tr>
        <w:trPr>
          <w:cantSplit w:val="true"/>
          <w:trHeight w:val="461"/>
        </w:trPr>
        <w:tc>
          <w:tcPr>
            <w:tcW w:type="dxa" w:w="987"/>
          </w:tcPr>
          <w:p>
            <w:pPr>
              <w:keepNext/>
              <w:spacing w:after="0"/>
            </w:pPr>
          </w:p>
        </w:tc>
        <w:tc>
          <w:tcPr>
            <w:tcW w:type="dxa" w:w="2962"/>
          </w:tcPr>
          <w:p>
            <w:pPr>
              <w:keepNext/>
              <w:spacing w:after="0"/>
            </w:pPr>
          </w:p>
        </w:tc>
        <w:tc>
          <w:tcPr>
            <w:tcW w:type="dxa" w:w="3949"/>
          </w:tcPr>
          <w:p>
            <w:pPr>
              <w:keepNext/>
              <w:spacing w:after="0"/>
            </w:pPr>
          </w:p>
        </w:tc>
        <w:tc>
          <w:tcPr>
            <w:tcW w:type="dxa" w:w="2962"/>
          </w:tcPr>
          <w:p>
            <w:pPr>
              <w:keepNext/>
              <w:spacing w:after="0"/>
            </w:pPr>
          </w:p>
        </w:tc>
        <w:tc>
          <w:tcPr>
            <w:tcW w:type="dxa" w:w="1974"/>
          </w:tcPr>
          <w:p>
            <w:pPr>
              <w:keepNext/>
              <w:spacing w:after="0"/>
            </w:pPr>
          </w:p>
        </w:tc>
        <w:tc>
          <w:tcPr>
            <w:tcW w:type="dxa" w:w="987"/>
          </w:tcPr>
          <w:p>
            <w:pPr>
              <w:keepNext/>
              <w:spacing w:after="0"/>
            </w:pPr>
          </w:p>
        </w:tc>
      </w:tr>
      <w:tr>
        <w:trPr>
          <w:cantSplit w:val="true"/>
          <w:trHeight w:val="461"/>
        </w:trPr>
        <w:tc>
          <w:tcPr>
            <w:tcW w:type="dxa" w:w="987"/>
          </w:tcPr>
          <w:p>
            <w:pPr>
              <w:keepNext/>
              <w:spacing w:after="0"/>
            </w:pPr>
          </w:p>
        </w:tc>
        <w:tc>
          <w:tcPr>
            <w:tcW w:type="dxa" w:w="2962"/>
          </w:tcPr>
          <w:p>
            <w:pPr>
              <w:keepNext/>
              <w:spacing w:after="0"/>
            </w:pPr>
          </w:p>
        </w:tc>
        <w:tc>
          <w:tcPr>
            <w:tcW w:type="dxa" w:w="3949"/>
          </w:tcPr>
          <w:p>
            <w:pPr>
              <w:keepNext/>
              <w:spacing w:after="0"/>
            </w:pPr>
          </w:p>
        </w:tc>
        <w:tc>
          <w:tcPr>
            <w:tcW w:type="dxa" w:w="2962"/>
          </w:tcPr>
          <w:p>
            <w:pPr>
              <w:keepNext/>
              <w:spacing w:after="0"/>
            </w:pPr>
          </w:p>
        </w:tc>
        <w:tc>
          <w:tcPr>
            <w:tcW w:type="dxa" w:w="1974"/>
          </w:tcPr>
          <w:p>
            <w:pPr>
              <w:keepNext/>
              <w:spacing w:after="0"/>
            </w:pPr>
          </w:p>
        </w:tc>
        <w:tc>
          <w:tcPr>
            <w:tcW w:type="dxa" w:w="987"/>
          </w:tcPr>
          <w:p>
            <w:pPr>
              <w:keepNext/>
              <w:spacing w:after="0"/>
            </w:pPr>
          </w:p>
        </w:tc>
      </w:tr>
      <w:tr>
        <w:trPr>
          <w:cantSplit w:val="true"/>
          <w:trHeight w:val="461"/>
        </w:trPr>
        <w:tc>
          <w:tcPr>
            <w:tcW w:type="dxa" w:w="987"/>
          </w:tcPr>
          <w:p>
            <w:pPr>
              <w:keepNext/>
              <w:spacing w:after="0"/>
            </w:pPr>
          </w:p>
        </w:tc>
        <w:tc>
          <w:tcPr>
            <w:tcW w:type="dxa" w:w="2962"/>
          </w:tcPr>
          <w:p>
            <w:pPr>
              <w:keepNext/>
              <w:spacing w:after="0"/>
            </w:pPr>
          </w:p>
        </w:tc>
        <w:tc>
          <w:tcPr>
            <w:tcW w:type="dxa" w:w="3949"/>
          </w:tcPr>
          <w:p>
            <w:pPr>
              <w:keepNext/>
              <w:spacing w:after="0"/>
            </w:pPr>
          </w:p>
        </w:tc>
        <w:tc>
          <w:tcPr>
            <w:tcW w:type="dxa" w:w="2962"/>
          </w:tcPr>
          <w:p>
            <w:pPr>
              <w:keepNext/>
              <w:spacing w:after="0"/>
            </w:pPr>
          </w:p>
        </w:tc>
        <w:tc>
          <w:tcPr>
            <w:tcW w:type="dxa" w:w="1974"/>
          </w:tcPr>
          <w:p>
            <w:pPr>
              <w:keepNext/>
              <w:spacing w:after="0"/>
            </w:pPr>
          </w:p>
        </w:tc>
        <w:tc>
          <w:tcPr>
            <w:tcW w:type="dxa" w:w="987"/>
          </w:tcPr>
          <w:p>
            <w:pPr>
              <w:keepNext/>
              <w:spacing w:after="0"/>
            </w:pPr>
          </w:p>
        </w:tc>
      </w:tr>
      <w:tr>
        <w:trPr>
          <w:cantSplit w:val="true"/>
          <w:trHeight w:val="461"/>
        </w:trPr>
        <w:tc>
          <w:tcPr>
            <w:tcW w:type="dxa" w:w="987"/>
          </w:tcPr>
          <w:p>
            <w:pPr>
              <w:spacing w:after="0"/>
            </w:pPr>
          </w:p>
        </w:tc>
        <w:tc>
          <w:tcPr>
            <w:tcW w:type="dxa" w:w="2962"/>
          </w:tcPr>
          <w:p>
            <w:pPr>
              <w:spacing w:after="0"/>
            </w:pPr>
          </w:p>
        </w:tc>
        <w:tc>
          <w:tcPr>
            <w:tcW w:type="dxa" w:w="3949"/>
          </w:tcPr>
          <w:p>
            <w:pPr>
              <w:spacing w:after="0"/>
            </w:pPr>
          </w:p>
        </w:tc>
        <w:tc>
          <w:tcPr>
            <w:tcW w:type="dxa" w:w="2962"/>
          </w:tcPr>
          <w:p>
            <w:pPr>
              <w:spacing w:after="0"/>
            </w:pPr>
          </w:p>
        </w:tc>
        <w:tc>
          <w:tcPr>
            <w:tcW w:type="dxa" w:w="1974"/>
          </w:tcPr>
          <w:p>
            <w:pPr>
              <w:spacing w:after="0"/>
            </w:pPr>
          </w:p>
        </w:tc>
        <w:tc>
          <w:tcPr>
            <w:tcW w:type="dxa" w:w="987"/>
          </w:tcPr>
          <w:p>
            <w:pPr>
              <w:spacing w:after="0"/>
            </w:pPr>
          </w:p>
        </w:tc>
      </w:tr>
    </w:tbl>
    <w:p>
      <w:pPr>
        <w:spacing w:after="40"/>
      </w:pPr>
    </w:p>
    <w:p>
      <w:pPr>
        <w:pStyle w:val="Heading2"/>
      </w:pPr>
      <w:r>
        <w:t>Part 5. Audit risk weighting and rank (approved with the network audit plan)</w:t>
      </w:r>
    </w:p>
    <w:tbl>
      <w:tblPr>
        <w:tblStyle w:val="TableGrid"/>
        <w:tblW w:type="auto" w:w="0"/>
        <w:jc w:val="left"/>
        <w:tblLayout w:type="fixed"/>
        <w:tblLook w:firstColumn="1" w:firstRow="1" w:lastColumn="0" w:lastRow="0" w:noHBand="0" w:noVBand="1" w:val="04A0"/>
      </w:tblPr>
      <w:tblGrid>
        <w:gridCol w:w="5026"/>
        <w:gridCol w:w="1256"/>
        <w:gridCol w:w="1256"/>
        <w:gridCol w:w="1256"/>
        <w:gridCol w:w="5026"/>
      </w:tblGrid>
      <w:tr>
        <w:trPr>
          <w:tblHeader w:val="true"/>
        </w:trPr>
        <w:tc>
          <w:tcPr>
            <w:tcW w:type="dxa" w:w="5026"/>
            <w:shd w:val="clear" w:color="auto" w:fill="D9E2F3"/>
          </w:tcPr>
          <w:p>
            <w:pPr>
              <w:keepNext/>
              <w:spacing w:after="0"/>
            </w:pPr>
            <w:r>
              <w:rPr>
                <w:b/>
                <w:sz w:val="17"/>
              </w:rPr>
              <w:t>Risk factor (SOP-N4 5.5.2)</w:t>
            </w:r>
          </w:p>
        </w:tc>
        <w:tc>
          <w:tcPr>
            <w:tcW w:type="dxa" w:w="1256"/>
            <w:shd w:val="clear" w:color="auto" w:fill="D9E2F3"/>
          </w:tcPr>
          <w:p>
            <w:pPr>
              <w:keepNext/>
              <w:spacing w:after="0"/>
            </w:pPr>
            <w:r>
              <w:rPr>
                <w:b/>
                <w:sz w:val="17"/>
              </w:rPr>
              <w:t>Weight</w:t>
            </w:r>
          </w:p>
        </w:tc>
        <w:tc>
          <w:tcPr>
            <w:tcW w:type="dxa" w:w="1256"/>
            <w:shd w:val="clear" w:color="auto" w:fill="D9E2F3"/>
          </w:tcPr>
          <w:p>
            <w:pPr>
              <w:keepNext/>
              <w:spacing w:after="0"/>
            </w:pPr>
            <w:r>
              <w:rPr>
                <w:b/>
                <w:sz w:val="17"/>
              </w:rPr>
              <w:t>Score this site</w:t>
            </w:r>
          </w:p>
        </w:tc>
        <w:tc>
          <w:tcPr>
            <w:tcW w:type="dxa" w:w="1256"/>
            <w:shd w:val="clear" w:color="auto" w:fill="D9E2F3"/>
          </w:tcPr>
          <w:p>
            <w:pPr>
              <w:keepNext/>
              <w:spacing w:after="0"/>
            </w:pPr>
            <w:r>
              <w:rPr>
                <w:b/>
                <w:sz w:val="17"/>
              </w:rPr>
              <w:t>Weighted score</w:t>
            </w:r>
          </w:p>
        </w:tc>
        <w:tc>
          <w:tcPr>
            <w:tcW w:type="dxa" w:w="5026"/>
            <w:shd w:val="clear" w:color="auto" w:fill="D9E2F3"/>
          </w:tcPr>
          <w:p>
            <w:pPr>
              <w:keepNext/>
              <w:spacing w:after="0"/>
            </w:pPr>
            <w:r>
              <w:rPr>
                <w:b/>
                <w:sz w:val="17"/>
              </w:rPr>
              <w:t>Evidence</w:t>
            </w:r>
          </w:p>
        </w:tc>
      </w:tr>
      <w:tr>
        <w:trPr>
          <w:cantSplit w:val="true"/>
          <w:trHeight w:val="461"/>
        </w:trPr>
        <w:tc>
          <w:tcPr>
            <w:tcW w:type="dxa" w:w="502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c>
          <w:tcPr>
            <w:tcW w:type="dxa" w:w="5026"/>
          </w:tcPr>
          <w:p>
            <w:pPr>
              <w:keepNext/>
              <w:spacing w:after="0"/>
            </w:pPr>
          </w:p>
        </w:tc>
      </w:tr>
      <w:tr>
        <w:trPr>
          <w:cantSplit w:val="true"/>
          <w:trHeight w:val="461"/>
        </w:trPr>
        <w:tc>
          <w:tcPr>
            <w:tcW w:type="dxa" w:w="502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c>
          <w:tcPr>
            <w:tcW w:type="dxa" w:w="5026"/>
          </w:tcPr>
          <w:p>
            <w:pPr>
              <w:keepNext/>
              <w:spacing w:after="0"/>
            </w:pPr>
          </w:p>
        </w:tc>
      </w:tr>
      <w:tr>
        <w:trPr>
          <w:cantSplit w:val="true"/>
          <w:trHeight w:val="461"/>
        </w:trPr>
        <w:tc>
          <w:tcPr>
            <w:tcW w:type="dxa" w:w="502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c>
          <w:tcPr>
            <w:tcW w:type="dxa" w:w="5026"/>
          </w:tcPr>
          <w:p>
            <w:pPr>
              <w:keepNext/>
              <w:spacing w:after="0"/>
            </w:pPr>
          </w:p>
        </w:tc>
      </w:tr>
      <w:tr>
        <w:trPr>
          <w:cantSplit w:val="true"/>
          <w:trHeight w:val="461"/>
        </w:trPr>
        <w:tc>
          <w:tcPr>
            <w:tcW w:type="dxa" w:w="502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c>
          <w:tcPr>
            <w:tcW w:type="dxa" w:w="5026"/>
          </w:tcPr>
          <w:p>
            <w:pPr>
              <w:keepNext/>
              <w:spacing w:after="0"/>
            </w:pPr>
          </w:p>
        </w:tc>
      </w:tr>
      <w:tr>
        <w:trPr>
          <w:cantSplit w:val="true"/>
          <w:trHeight w:val="461"/>
        </w:trPr>
        <w:tc>
          <w:tcPr>
            <w:tcW w:type="dxa" w:w="5026"/>
          </w:tcPr>
          <w:p>
            <w:pPr>
              <w:keepNext/>
              <w:spacing w:after="0"/>
            </w:pPr>
          </w:p>
        </w:tc>
        <w:tc>
          <w:tcPr>
            <w:tcW w:type="dxa" w:w="1256"/>
          </w:tcPr>
          <w:p>
            <w:pPr>
              <w:keepNext/>
              <w:spacing w:after="0"/>
            </w:pPr>
          </w:p>
        </w:tc>
        <w:tc>
          <w:tcPr>
            <w:tcW w:type="dxa" w:w="1256"/>
          </w:tcPr>
          <w:p>
            <w:pPr>
              <w:keepNext/>
              <w:spacing w:after="0"/>
            </w:pPr>
          </w:p>
        </w:tc>
        <w:tc>
          <w:tcPr>
            <w:tcW w:type="dxa" w:w="1256"/>
          </w:tcPr>
          <w:p>
            <w:pPr>
              <w:keepNext/>
              <w:spacing w:after="0"/>
            </w:pPr>
          </w:p>
        </w:tc>
        <w:tc>
          <w:tcPr>
            <w:tcW w:type="dxa" w:w="5026"/>
          </w:tcPr>
          <w:p>
            <w:pPr>
              <w:keepNext/>
              <w:spacing w:after="0"/>
            </w:pPr>
          </w:p>
        </w:tc>
      </w:tr>
      <w:tr>
        <w:trPr>
          <w:cantSplit w:val="true"/>
          <w:trHeight w:val="461"/>
        </w:trPr>
        <w:tc>
          <w:tcPr>
            <w:tcW w:type="dxa" w:w="502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5026"/>
          </w:tcPr>
          <w:p>
            <w:pPr>
              <w:spacing w:after="0"/>
            </w:pPr>
          </w:p>
        </w:tc>
      </w:tr>
    </w:tbl>
    <w:p>
      <w:pPr>
        <w:spacing w:after="4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Total weighted score</w:t>
            </w:r>
          </w:p>
        </w:tc>
        <w:tc>
          <w:tcPr>
            <w:tcW w:type="dxa" w:w="2447"/>
          </w:tcPr>
          <w:p/>
        </w:tc>
        <w:tc>
          <w:tcPr>
            <w:tcW w:type="dxa" w:w="2160"/>
            <w:shd w:val="clear" w:color="auto" w:fill="D9E2F3"/>
          </w:tcPr>
          <w:p>
            <w:pPr>
              <w:spacing w:after="0"/>
            </w:pPr>
            <w:r>
              <w:rPr>
                <w:b/>
                <w:sz w:val="17"/>
              </w:rPr>
              <w:t>Risk rank among member sites</w:t>
            </w:r>
          </w:p>
        </w:tc>
        <w:tc>
          <w:tcPr>
            <w:tcW w:type="dxa" w:w="2447"/>
          </w:tcPr>
          <w:p/>
        </w:tc>
        <w:tc>
          <w:tcPr>
            <w:tcW w:type="dxa" w:w="2160"/>
            <w:shd w:val="clear" w:color="auto" w:fill="D9E2F3"/>
          </w:tcPr>
          <w:p>
            <w:pPr>
              <w:spacing w:after="0"/>
            </w:pPr>
            <w:r>
              <w:rPr>
                <w:b/>
                <w:sz w:val="17"/>
              </w:rPr>
              <w:t>Weights approved with audit plan (date)</w:t>
            </w:r>
          </w:p>
        </w:tc>
        <w:tc>
          <w:tcPr>
            <w:tcW w:type="dxa" w:w="2447"/>
          </w:tcPr>
          <w:p/>
        </w:tc>
      </w:tr>
      <w:tr>
        <w:trPr>
          <w:trHeight w:val="432"/>
        </w:trPr>
        <w:tc>
          <w:tcPr>
            <w:tcW w:type="dxa" w:w="2160"/>
            <w:shd w:val="clear" w:color="auto" w:fill="D9E2F3"/>
          </w:tcPr>
          <w:p>
            <w:pPr>
              <w:spacing w:after="0"/>
            </w:pPr>
            <w:r>
              <w:rPr>
                <w:b/>
                <w:sz w:val="17"/>
              </w:rPr>
              <w:t>Planned central audit (type and quarter)</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6. Site data submission template</w:t>
      </w:r>
    </w:p>
    <w:p>
      <w:pPr>
        <w:spacing w:after="40"/>
      </w:pPr>
      <w:r>
        <w:rPr>
          <w:b w:val="0"/>
          <w:sz w:val="18"/>
        </w:rPr>
        <w:t xml:space="preserve">Part 6 is the data submission template for member sites that use their own systems. Submit by </w:t>
      </w:r>
      <w:r>
        <w:rPr>
          <w:b w:val="0"/>
          <w:sz w:val="18"/>
          <w:highlight w:val="green"/>
        </w:rPr>
        <w:t>[DEFAULT: the 10th business day after quarter end]</w:t>
      </w:r>
      <w:r>
        <w:rPr>
          <w:b w:val="0"/>
          <w:sz w:val="18"/>
        </w:rPr>
        <w:t xml:space="preserve"> (SOP-N4 5.3.5). No names, medical record numbers or other direct identifiers; study IDs or dates only as SOP-N6 5.6 allows. SAE timeliness: a site that is the network entity may give awareness and report dates; a separate entity gives only the days from awareness to sponsor report and the protocol timeline, with no dates, IDs or narrative, unless F-905-01 covers more (SOP-N4 5.3.2).</w:t>
      </w:r>
    </w:p>
    <w:tbl>
      <w:tblPr>
        <w:tblStyle w:val="TableGrid"/>
        <w:tblW w:type="auto" w:w="0"/>
        <w:jc w:val="left"/>
        <w:tblLayout w:type="fixed"/>
        <w:tblLook w:firstColumn="1" w:firstRow="1" w:lastColumn="0" w:lastRow="0" w:noHBand="0" w:noVBand="1" w:val="04A0"/>
      </w:tblPr>
      <w:tblGrid>
        <w:gridCol w:w="987"/>
        <w:gridCol w:w="987"/>
        <w:gridCol w:w="987"/>
        <w:gridCol w:w="987"/>
        <w:gridCol w:w="987"/>
        <w:gridCol w:w="987"/>
        <w:gridCol w:w="987"/>
        <w:gridCol w:w="987"/>
        <w:gridCol w:w="987"/>
        <w:gridCol w:w="987"/>
        <w:gridCol w:w="1974"/>
        <w:gridCol w:w="987"/>
        <w:gridCol w:w="987"/>
      </w:tblGrid>
      <w:tr>
        <w:trPr>
          <w:tblHeader w:val="true"/>
        </w:trPr>
        <w:tc>
          <w:tcPr>
            <w:tcW w:type="dxa" w:w="987"/>
            <w:shd w:val="clear" w:color="auto" w:fill="D9E2F3"/>
          </w:tcPr>
          <w:p>
            <w:pPr>
              <w:spacing w:after="0"/>
            </w:pPr>
            <w:r>
              <w:rPr>
                <w:b/>
                <w:sz w:val="17"/>
              </w:rPr>
              <w:t>Protocol</w:t>
            </w:r>
          </w:p>
        </w:tc>
        <w:tc>
          <w:tcPr>
            <w:tcW w:type="dxa" w:w="987"/>
            <w:shd w:val="clear" w:color="auto" w:fill="D9E2F3"/>
          </w:tcPr>
          <w:p>
            <w:pPr>
              <w:spacing w:after="0"/>
            </w:pPr>
            <w:r>
              <w:rPr>
                <w:b/>
                <w:sz w:val="17"/>
              </w:rPr>
              <w:t>Final protocol received (date)</w:t>
            </w:r>
          </w:p>
        </w:tc>
        <w:tc>
          <w:tcPr>
            <w:tcW w:type="dxa" w:w="987"/>
            <w:shd w:val="clear" w:color="auto" w:fill="D9E2F3"/>
          </w:tcPr>
          <w:p>
            <w:pPr>
              <w:spacing w:after="0"/>
            </w:pPr>
            <w:r>
              <w:rPr>
                <w:b/>
                <w:sz w:val="17"/>
              </w:rPr>
              <w:t>Site selection notice (date, secondary)</w:t>
            </w:r>
          </w:p>
        </w:tc>
        <w:tc>
          <w:tcPr>
            <w:tcW w:type="dxa" w:w="987"/>
            <w:shd w:val="clear" w:color="auto" w:fill="D9E2F3"/>
          </w:tcPr>
          <w:p>
            <w:pPr>
              <w:spacing w:after="0"/>
            </w:pPr>
            <w:r>
              <w:rPr>
                <w:b/>
                <w:sz w:val="17"/>
              </w:rPr>
              <w:t>Study activation (date)</w:t>
            </w:r>
          </w:p>
        </w:tc>
        <w:tc>
          <w:tcPr>
            <w:tcW w:type="dxa" w:w="987"/>
            <w:shd w:val="clear" w:color="auto" w:fill="D9E2F3"/>
          </w:tcPr>
          <w:p>
            <w:pPr>
              <w:spacing w:after="0"/>
            </w:pPr>
            <w:r>
              <w:rPr>
                <w:b/>
                <w:sz w:val="17"/>
              </w:rPr>
              <w:t>Consented</w:t>
            </w:r>
          </w:p>
        </w:tc>
        <w:tc>
          <w:tcPr>
            <w:tcW w:type="dxa" w:w="987"/>
            <w:shd w:val="clear" w:color="auto" w:fill="D9E2F3"/>
          </w:tcPr>
          <w:p>
            <w:pPr>
              <w:spacing w:after="0"/>
            </w:pPr>
            <w:r>
              <w:rPr>
                <w:b/>
                <w:sz w:val="17"/>
              </w:rPr>
              <w:t>Screen failures (eligibility)</w:t>
            </w:r>
          </w:p>
        </w:tc>
        <w:tc>
          <w:tcPr>
            <w:tcW w:type="dxa" w:w="987"/>
            <w:shd w:val="clear" w:color="auto" w:fill="D9E2F3"/>
          </w:tcPr>
          <w:p>
            <w:pPr>
              <w:spacing w:after="0"/>
            </w:pPr>
            <w:r>
              <w:rPr>
                <w:b/>
                <w:sz w:val="17"/>
              </w:rPr>
              <w:t>Enrolled in period</w:t>
            </w:r>
          </w:p>
        </w:tc>
        <w:tc>
          <w:tcPr>
            <w:tcW w:type="dxa" w:w="987"/>
            <w:shd w:val="clear" w:color="auto" w:fill="D9E2F3"/>
          </w:tcPr>
          <w:p>
            <w:pPr>
              <w:spacing w:after="0"/>
            </w:pPr>
            <w:r>
              <w:rPr>
                <w:b/>
                <w:sz w:val="17"/>
              </w:rPr>
              <w:t>Target for period</w:t>
            </w:r>
          </w:p>
        </w:tc>
        <w:tc>
          <w:tcPr>
            <w:tcW w:type="dxa" w:w="987"/>
            <w:shd w:val="clear" w:color="auto" w:fill="D9E2F3"/>
          </w:tcPr>
          <w:p>
            <w:pPr>
              <w:spacing w:after="0"/>
            </w:pPr>
            <w:r>
              <w:rPr>
                <w:b/>
                <w:sz w:val="17"/>
              </w:rPr>
              <w:t>Deviations / important</w:t>
            </w:r>
          </w:p>
        </w:tc>
        <w:tc>
          <w:tcPr>
            <w:tcW w:type="dxa" w:w="987"/>
            <w:shd w:val="clear" w:color="auto" w:fill="D9E2F3"/>
          </w:tcPr>
          <w:p>
            <w:pPr>
              <w:spacing w:after="0"/>
            </w:pPr>
            <w:r>
              <w:rPr>
                <w:b/>
                <w:sz w:val="17"/>
              </w:rPr>
              <w:t>Open queries over 30 days</w:t>
            </w:r>
          </w:p>
        </w:tc>
        <w:tc>
          <w:tcPr>
            <w:tcW w:type="dxa" w:w="1974"/>
            <w:shd w:val="clear" w:color="auto" w:fill="D9E2F3"/>
          </w:tcPr>
          <w:p>
            <w:pPr>
              <w:spacing w:after="0"/>
            </w:pPr>
            <w:r>
              <w:rPr>
                <w:b/>
                <w:sz w:val="17"/>
              </w:rPr>
              <w:t>SAEs: days from awareness to report (separate entity) or dates (same entity); protocol timeline</w:t>
            </w:r>
          </w:p>
        </w:tc>
        <w:tc>
          <w:tcPr>
            <w:tcW w:type="dxa" w:w="987"/>
            <w:shd w:val="clear" w:color="auto" w:fill="D9E2F3"/>
          </w:tcPr>
          <w:p>
            <w:pPr>
              <w:spacing w:after="0"/>
            </w:pPr>
            <w:r>
              <w:rPr>
                <w:b/>
                <w:sz w:val="17"/>
              </w:rPr>
              <w:t>Consents QC'd / with major or critical finding</w:t>
            </w:r>
          </w:p>
        </w:tc>
        <w:tc>
          <w:tcPr>
            <w:tcW w:type="dxa" w:w="987"/>
            <w:shd w:val="clear" w:color="auto" w:fill="D9E2F3"/>
          </w:tcPr>
          <w:p>
            <w:pPr>
              <w:spacing w:after="0"/>
            </w:pPr>
            <w:r>
              <w:rPr>
                <w:b/>
                <w:sz w:val="17"/>
              </w:rPr>
              <w:t>Aged monitoring actions</w:t>
            </w: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r>
        <w:trPr>
          <w:cantSplit w:val="true"/>
          <w:trHeight w:val="461"/>
        </w:trPr>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974"/>
          </w:tcPr>
          <w:p>
            <w:pPr>
              <w:spacing w:after="0"/>
            </w:pPr>
          </w:p>
        </w:tc>
        <w:tc>
          <w:tcPr>
            <w:tcW w:type="dxa" w:w="987"/>
          </w:tcPr>
          <w:p>
            <w:pPr>
              <w:spacing w:after="0"/>
            </w:pPr>
          </w:p>
        </w:tc>
        <w:tc>
          <w:tcPr>
            <w:tcW w:type="dxa" w:w="987"/>
          </w:tcPr>
          <w:p>
            <w:pPr>
              <w:spacing w:after="0"/>
            </w:pPr>
          </w:p>
        </w:tc>
      </w:tr>
    </w:tbl>
    <w:p>
      <w:pPr>
        <w:spacing w:after="4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Training compliance (current / active staff)</w:t>
            </w:r>
          </w:p>
        </w:tc>
        <w:tc>
          <w:tcPr>
            <w:tcW w:type="dxa" w:w="2447"/>
          </w:tcPr>
          <w:p/>
        </w:tc>
        <w:tc>
          <w:tcPr>
            <w:tcW w:type="dxa" w:w="2160"/>
            <w:shd w:val="clear" w:color="auto" w:fill="D9E2F3"/>
          </w:tcPr>
          <w:p>
            <w:pPr>
              <w:spacing w:after="0"/>
            </w:pPr>
            <w:r>
              <w:rPr>
                <w:b/>
                <w:sz w:val="17"/>
              </w:rPr>
              <w:t>CAPAs due / closed on time</w:t>
            </w:r>
          </w:p>
        </w:tc>
        <w:tc>
          <w:tcPr>
            <w:tcW w:type="dxa" w:w="2447"/>
          </w:tcPr>
          <w:p/>
        </w:tc>
        <w:tc>
          <w:tcPr>
            <w:tcW w:type="dxa" w:w="2160"/>
            <w:shd w:val="clear" w:color="auto" w:fill="D9E2F3"/>
          </w:tcPr>
          <w:p>
            <w:pPr>
              <w:spacing w:after="0"/>
            </w:pPr>
            <w:r>
              <w:rPr>
                <w:b/>
                <w:sz w:val="17"/>
              </w:rPr>
              <w:t>Submitted by</w:t>
            </w:r>
          </w:p>
        </w:tc>
        <w:tc>
          <w:tcPr>
            <w:tcW w:type="dxa" w:w="2447"/>
          </w:tcPr>
          <w:p/>
        </w:tc>
      </w:tr>
      <w:tr>
        <w:trPr>
          <w:trHeight w:val="432"/>
        </w:trPr>
        <w:tc>
          <w:tcPr>
            <w:tcW w:type="dxa" w:w="2160"/>
            <w:shd w:val="clear" w:color="auto" w:fill="D9E2F3"/>
          </w:tcPr>
          <w:p>
            <w:pPr>
              <w:spacing w:after="0"/>
            </w:pPr>
            <w:r>
              <w:rPr>
                <w:b/>
                <w:sz w:val="17"/>
              </w:rPr>
              <w:t>Date submitted</w:t>
            </w:r>
          </w:p>
        </w:tc>
        <w:tc>
          <w:tcPr>
            <w:tcW w:type="dxa" w:w="2447"/>
          </w:tcPr>
          <w:p/>
        </w:tc>
        <w:tc>
          <w:tcPr>
            <w:tcW w:type="dxa" w:w="2160"/>
            <w:shd w:val="clear" w:color="auto" w:fill="D9E2F3"/>
          </w:tcPr>
          <w:p>
            <w:pPr>
              <w:spacing w:after="0"/>
            </w:pPr>
            <w:r>
              <w:rPr>
                <w:b/>
                <w:sz w:val="17"/>
              </w:rPr>
              <w:t>No direct identifiers included (confirmed)</w:t>
            </w:r>
          </w:p>
        </w:tc>
        <w:tc>
          <w:tcPr>
            <w:tcW w:type="dxa" w:w="2447"/>
          </w:tcPr>
          <w:p/>
        </w:tc>
        <w:tc>
          <w:tcPr>
            <w:tcW w:type="dxa" w:w="2160"/>
          </w:tcP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Network Quality Lead</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Network Clinical Operations Lead</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Site Director</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F-903-01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F-903-01 Member Site Performance and Quality Scorecard</w:t>
          </w:r>
        </w:p>
      </w:tc>
      <w:tc>
        <w:tcPr>
          <w:tcW w:type="dxa" w:w="4147"/>
        </w:tcPr>
        <w:p>
          <w:pPr>
            <w:jc w:val="right"/>
          </w:pPr>
          <w:r>
            <w:rPr>
              <w:b w:val="0"/>
              <w:color w:val="404040"/>
              <w:sz w:val="17"/>
            </w:rPr>
            <w:t>Ref: SOP-N4</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F-903-01 Member Site Performance and Quality Scorecard</dc:title>
  <dc:subject>Form</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