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Network Interest and Compensation Disclosure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Model N only. Network addendum to F-104-01. Records each person's interests in the network entity, its parent and investors and in member sites, classifies each as site-specific or platform-wide for allocation recusal, records any study-volume compensation with its counsel review and cap, and holds the Network Quality Lead's list of platform-wide interests.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 xml:space="preserve">Complete this form with F-104-01: at hire or appointment, when an interest changes (within </w:t>
      </w:r>
      <w:r>
        <w:rPr>
          <w:b w:val="0"/>
          <w:sz w:val="18"/>
          <w:highlight w:val="green"/>
        </w:rPr>
        <w:t>[DEFAULT: 30 calendar days]</w:t>
      </w:r>
      <w:r>
        <w:rPr>
          <w:b w:val="0"/>
          <w:sz w:val="18"/>
        </w:rPr>
        <w:t xml:space="preserve">), and at least </w:t>
      </w:r>
      <w:r>
        <w:rPr>
          <w:b w:val="0"/>
          <w:sz w:val="18"/>
          <w:highlight w:val="green"/>
        </w:rPr>
        <w:t>[DEFAULT: annually]</w:t>
      </w:r>
      <w:r>
        <w:rPr>
          <w:b w:val="0"/>
          <w:sz w:val="18"/>
        </w:rPr>
        <w:t>. It applies to Network Office staff, Network Quality Committee members, PIs, Sub-Is, Site Directors and anyone who recommends or decides an allocation (SOP-N3 5.4.4).</w:t>
      </w:r>
    </w:p>
    <w:p>
      <w:pPr>
        <w:pStyle w:val="ListBullet"/>
        <w:spacing w:after="0"/>
      </w:pPr>
      <w:r>
        <w:rPr>
          <w:b w:val="0"/>
          <w:sz w:val="18"/>
        </w:rPr>
        <w:t>Answer for yourself and for your spouse or partner and dependent children.</w:t>
      </w:r>
    </w:p>
    <w:p>
      <w:pPr>
        <w:pStyle w:val="ListBullet"/>
        <w:spacing w:after="0"/>
      </w:pPr>
      <w:r>
        <w:rPr>
          <w:b w:val="0"/>
          <w:sz w:val="18"/>
        </w:rPr>
        <w:t>A site-specific interest is an ownership interest in, or compensation tied to the results of, one particular member site. The holder does not recommend or decide an allocation affecting that site.</w:t>
      </w:r>
    </w:p>
    <w:p>
      <w:pPr>
        <w:pStyle w:val="ListBullet"/>
        <w:spacing w:after="0"/>
      </w:pPr>
      <w:r>
        <w:rPr>
          <w:b w:val="0"/>
          <w:sz w:val="18"/>
        </w:rPr>
        <w:t>A platform-wide interest is held equally across all member sites (for example equity or options in the network entity). Nominal ownership of a professional corporation under a stock transfer restriction or similar agreement, with no economic interest beyond fixed compensation, is platform-wide. It needs no recusal but is recorded here.</w:t>
      </w:r>
    </w:p>
    <w:p>
      <w:pPr>
        <w:pStyle w:val="ListBullet"/>
        <w:spacing w:after="0"/>
      </w:pPr>
      <w:r>
        <w:rPr>
          <w:b w:val="0"/>
          <w:sz w:val="18"/>
        </w:rPr>
        <w:t>Default: no compensation is tied to an individual participant's referral, consent, enrollment or randomization. Any study-volume component needs counsel review under SOP-N3 5.7.3 and a written cap before it is paid (SOP-N3 5.7.6). Finder's fees and per-referral payments are prohibited.</w:t>
      </w:r>
    </w:p>
    <w:p>
      <w:pPr>
        <w:pStyle w:val="ListBullet"/>
        <w:spacing w:after="0"/>
      </w:pPr>
      <w:r>
        <w:rPr>
          <w:b w:val="0"/>
          <w:sz w:val="18"/>
        </w:rPr>
        <w:t>The Network Quality Lead classifies each interest in Part C and keeps the platform-wide list in Part D. Sponsor and product interests stay on F-104-01.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Name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Role(s) in the network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Employing entity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Part A. Network and member site interests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16"/>
        <w:gridCol w:w="720"/>
        <w:gridCol w:w="720"/>
        <w:gridCol w:w="2592"/>
      </w:tblGrid>
      <w:tr>
        <w:trPr>
          <w:tblHeader w:val="true"/>
        </w:trPr>
        <w:tc>
          <w:tcPr>
            <w:tcW w:type="dxa" w:w="56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Self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Family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Equity, options, profit share or other ownership in the network entity, its parent company or its investors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Board, officer or management role in the network entity, its parent or its investors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Ownership in a member site entity, including nominal ownership of a professional corporation (name the entity and any stock transfer restriction agreement)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Compensation tied to the results of one particular member site (for example site profit share or site bonus)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Compensation tied to studies or participants allocated to a member site, or any study-volume component (for example a team bonus on studies completed)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Payments from a member site entity other than your employer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Details</w:t>
      </w:r>
    </w:p>
    <w:p>
      <w:pPr>
        <w:spacing w:after="40"/>
      </w:pPr>
      <w:r>
        <w:rPr>
          <w:b w:val="0"/>
          <w:sz w:val="18"/>
        </w:rPr>
        <w:t>For each Yes, describe the interest, the entity or member site, the amount or range and the dates: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Part B. Study-volume compensation (SOP-N3 5.7.6)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508"/>
        <w:gridCol w:w="2631"/>
        <w:gridCol w:w="1754"/>
        <w:gridCol w:w="1754"/>
      </w:tblGrid>
      <w:tr>
        <w:trPr>
          <w:tblHeader w:val="true"/>
        </w:trPr>
        <w:tc>
          <w:tcPr>
            <w:tcW w:type="dxa" w:w="3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Study-volume component (description)</w:t>
            </w:r>
          </w:p>
        </w:tc>
        <w:tc>
          <w:tcPr>
            <w:tcW w:type="dxa" w:w="263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Counsel review reference and date (SOP-N3 5.7.3)</w:t>
            </w:r>
          </w:p>
        </w:tc>
        <w:tc>
          <w:tcPr>
            <w:tcW w:type="dxa" w:w="175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Written cap</w:t>
            </w:r>
          </w:p>
        </w:tc>
        <w:tc>
          <w:tcPr>
            <w:tcW w:type="dxa" w:w="175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Effective dates</w:t>
            </w:r>
          </w:p>
        </w:tc>
      </w:tr>
      <w:tr>
        <w:trPr>
          <w:cantSplit w:val="true"/>
          <w:trHeight w:val="461"/>
        </w:trPr>
        <w:tc>
          <w:tcPr>
            <w:tcW w:type="dxa" w:w="3508"/>
          </w:tcPr>
          <w:p>
            <w:pPr>
              <w:keepNext/>
              <w:spacing w:after="0"/>
            </w:pPr>
          </w:p>
        </w:tc>
        <w:tc>
          <w:tcPr>
            <w:tcW w:type="dxa" w:w="2631"/>
          </w:tcPr>
          <w:p>
            <w:pPr>
              <w:keepNext/>
              <w:spacing w:after="0"/>
            </w:pPr>
          </w:p>
        </w:tc>
        <w:tc>
          <w:tcPr>
            <w:tcW w:type="dxa" w:w="1754"/>
          </w:tcPr>
          <w:p>
            <w:pPr>
              <w:keepNext/>
              <w:spacing w:after="0"/>
            </w:pPr>
          </w:p>
        </w:tc>
        <w:tc>
          <w:tcPr>
            <w:tcW w:type="dxa" w:w="175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508"/>
          </w:tcPr>
          <w:p>
            <w:pPr>
              <w:keepNext/>
              <w:spacing w:after="0"/>
            </w:pPr>
          </w:p>
        </w:tc>
        <w:tc>
          <w:tcPr>
            <w:tcW w:type="dxa" w:w="2631"/>
          </w:tcPr>
          <w:p>
            <w:pPr>
              <w:keepNext/>
              <w:spacing w:after="0"/>
            </w:pPr>
          </w:p>
        </w:tc>
        <w:tc>
          <w:tcPr>
            <w:tcW w:type="dxa" w:w="1754"/>
          </w:tcPr>
          <w:p>
            <w:pPr>
              <w:keepNext/>
              <w:spacing w:after="0"/>
            </w:pPr>
          </w:p>
        </w:tc>
        <w:tc>
          <w:tcPr>
            <w:tcW w:type="dxa" w:w="175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508"/>
          </w:tcPr>
          <w:p>
            <w:pPr>
              <w:spacing w:after="0"/>
            </w:pPr>
          </w:p>
        </w:tc>
        <w:tc>
          <w:tcPr>
            <w:tcW w:type="dxa" w:w="2631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  <w:sz w:val="18"/>
        </w:rPr>
        <w:t xml:space="preserve">I confirm that this disclosure is complete and accurate and that I will update it within </w:t>
      </w:r>
      <w:r>
        <w:rPr>
          <w:b w:val="0"/>
          <w:sz w:val="18"/>
          <w:highlight w:val="green"/>
        </w:rPr>
        <w:t>[DEFAULT: 30 calendar days]</w:t>
      </w:r>
      <w:r>
        <w:rPr>
          <w:b w:val="0"/>
          <w:sz w:val="18"/>
        </w:rPr>
        <w:t xml:space="preserve"> if my interests change.</w:t>
      </w:r>
    </w:p>
    <w:p>
      <w:pPr>
        <w:pStyle w:val="Heading2"/>
      </w:pPr>
      <w:r>
        <w:t>Attestation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Person disclosing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C. Classification (Network Quality Lead)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508"/>
        <w:gridCol w:w="2631"/>
        <w:gridCol w:w="1754"/>
        <w:gridCol w:w="1754"/>
      </w:tblGrid>
      <w:tr>
        <w:trPr>
          <w:tblHeader w:val="true"/>
        </w:trPr>
        <w:tc>
          <w:tcPr>
            <w:tcW w:type="dxa" w:w="3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Interest (from Part A)</w:t>
            </w:r>
          </w:p>
        </w:tc>
        <w:tc>
          <w:tcPr>
            <w:tcW w:type="dxa" w:w="263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Site-specific (member site named) or platform-wide</w:t>
            </w:r>
          </w:p>
        </w:tc>
        <w:tc>
          <w:tcPr>
            <w:tcW w:type="dxa" w:w="175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Allocation recusal needed (Y/N, sites)</w:t>
            </w:r>
          </w:p>
        </w:tc>
        <w:tc>
          <w:tcPr>
            <w:tcW w:type="dxa" w:w="175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Classified by and date</w:t>
            </w:r>
          </w:p>
        </w:tc>
      </w:tr>
      <w:tr>
        <w:trPr>
          <w:cantSplit w:val="true"/>
          <w:trHeight w:val="461"/>
        </w:trPr>
        <w:tc>
          <w:tcPr>
            <w:tcW w:type="dxa" w:w="3508"/>
          </w:tcPr>
          <w:p>
            <w:pPr>
              <w:keepNext/>
              <w:spacing w:after="0"/>
            </w:pPr>
          </w:p>
        </w:tc>
        <w:tc>
          <w:tcPr>
            <w:tcW w:type="dxa" w:w="2631"/>
          </w:tcPr>
          <w:p>
            <w:pPr>
              <w:keepNext/>
              <w:spacing w:after="0"/>
            </w:pPr>
          </w:p>
        </w:tc>
        <w:tc>
          <w:tcPr>
            <w:tcW w:type="dxa" w:w="1754"/>
          </w:tcPr>
          <w:p>
            <w:pPr>
              <w:keepNext/>
              <w:spacing w:after="0"/>
            </w:pPr>
          </w:p>
        </w:tc>
        <w:tc>
          <w:tcPr>
            <w:tcW w:type="dxa" w:w="175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508"/>
          </w:tcPr>
          <w:p>
            <w:pPr>
              <w:keepNext/>
              <w:spacing w:after="0"/>
            </w:pPr>
          </w:p>
        </w:tc>
        <w:tc>
          <w:tcPr>
            <w:tcW w:type="dxa" w:w="2631"/>
          </w:tcPr>
          <w:p>
            <w:pPr>
              <w:keepNext/>
              <w:spacing w:after="0"/>
            </w:pPr>
          </w:p>
        </w:tc>
        <w:tc>
          <w:tcPr>
            <w:tcW w:type="dxa" w:w="1754"/>
          </w:tcPr>
          <w:p>
            <w:pPr>
              <w:keepNext/>
              <w:spacing w:after="0"/>
            </w:pPr>
          </w:p>
        </w:tc>
        <w:tc>
          <w:tcPr>
            <w:tcW w:type="dxa" w:w="175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508"/>
          </w:tcPr>
          <w:p>
            <w:pPr>
              <w:keepNext/>
              <w:spacing w:after="0"/>
            </w:pPr>
          </w:p>
        </w:tc>
        <w:tc>
          <w:tcPr>
            <w:tcW w:type="dxa" w:w="2631"/>
          </w:tcPr>
          <w:p>
            <w:pPr>
              <w:keepNext/>
              <w:spacing w:after="0"/>
            </w:pPr>
          </w:p>
        </w:tc>
        <w:tc>
          <w:tcPr>
            <w:tcW w:type="dxa" w:w="1754"/>
          </w:tcPr>
          <w:p>
            <w:pPr>
              <w:keepNext/>
              <w:spacing w:after="0"/>
            </w:pPr>
          </w:p>
        </w:tc>
        <w:tc>
          <w:tcPr>
            <w:tcW w:type="dxa" w:w="175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508"/>
          </w:tcPr>
          <w:p>
            <w:pPr>
              <w:keepNext/>
              <w:spacing w:after="0"/>
            </w:pPr>
          </w:p>
        </w:tc>
        <w:tc>
          <w:tcPr>
            <w:tcW w:type="dxa" w:w="2631"/>
          </w:tcPr>
          <w:p>
            <w:pPr>
              <w:keepNext/>
              <w:spacing w:after="0"/>
            </w:pPr>
          </w:p>
        </w:tc>
        <w:tc>
          <w:tcPr>
            <w:tcW w:type="dxa" w:w="1754"/>
          </w:tcPr>
          <w:p>
            <w:pPr>
              <w:keepNext/>
              <w:spacing w:after="0"/>
            </w:pPr>
          </w:p>
        </w:tc>
        <w:tc>
          <w:tcPr>
            <w:tcW w:type="dxa" w:w="175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508"/>
          </w:tcPr>
          <w:p>
            <w:pPr>
              <w:spacing w:after="0"/>
            </w:pPr>
          </w:p>
        </w:tc>
        <w:tc>
          <w:tcPr>
            <w:tcW w:type="dxa" w:w="2631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D. Platform-wide interest list (kept by the Network Quality Lead; SOP-N3 5.4.4)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6"/>
        <w:gridCol w:w="4288"/>
        <w:gridCol w:w="1072"/>
        <w:gridCol w:w="1072"/>
      </w:tblGrid>
      <w:tr>
        <w:trPr>
          <w:tblHeader w:val="true"/>
        </w:trPr>
        <w:tc>
          <w:tcPr>
            <w:tcW w:type="dxa" w:w="321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Name</w:t>
            </w:r>
          </w:p>
        </w:tc>
        <w:tc>
          <w:tcPr>
            <w:tcW w:type="dxa" w:w="428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Platform-wide interest</w:t>
            </w:r>
          </w:p>
        </w:tc>
        <w:tc>
          <w:tcPr>
            <w:tcW w:type="dxa" w:w="107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recorded</w:t>
            </w:r>
          </w:p>
        </w:tc>
        <w:tc>
          <w:tcPr>
            <w:tcW w:type="dxa" w:w="107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removed</w:t>
            </w: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4288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4288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4288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4288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4288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4288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4288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4288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4288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4288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Network Quality Lead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F-902-02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F-902-02 Network Interest and Compensation Disclosure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SOP-N3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F-902-02 Network Interest and Compensation Disclosure</dc:title>
  <dc:subject>Form</dc:subject>
  <dc:creator>American Institute for Medical Research (AIMR)</dc:creator>
  <cp:keywords>SOP; GCP; ICH E6(R3); clinical research site</cp:keywords>
  <dc:description>Independent Site SOP Library: Network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Network Edition</cp:category>
</cp:coreProperties>
</file>