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Member Site Gap Assessment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Model N only. Records the due diligence and gap assessment of a site joining the network, by area, with each finding graded, the risk, the action needed and the Network Executive's decision.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>The Network Quality Lead opens this record when the Network Executive says a site is under consideration (SOP-N2 5.2.1), and records whether it is an acquisition or an affiliation and the expected entity type (a, b or c).</w:t>
      </w:r>
    </w:p>
    <w:p>
      <w:pPr>
        <w:pStyle w:val="ListBullet"/>
        <w:spacing w:after="0"/>
      </w:pPr>
      <w:r>
        <w:rPr>
          <w:b w:val="0"/>
          <w:sz w:val="18"/>
        </w:rPr>
        <w:t>Before receiving any document that contains PHI, the joining site's Privacy Officer confirms the basis and the Network Privacy Officer records it on F-905-01. Use de-identified or redacted samples where possible (SOP-N2 5.2.2).</w:t>
      </w:r>
    </w:p>
    <w:p>
      <w:pPr>
        <w:pStyle w:val="ListBullet"/>
        <w:spacing w:after="0"/>
      </w:pPr>
      <w:r>
        <w:rPr>
          <w:b w:val="0"/>
          <w:sz w:val="18"/>
        </w:rPr>
        <w:t>Grade each area: No gap, Minor, Major or Critical (SOP-14 grades). Critical = participant safety, rights or data reliability at risk, or a regulatory breach.</w:t>
      </w:r>
    </w:p>
    <w:p>
      <w:pPr>
        <w:pStyle w:val="ListBullet"/>
        <w:spacing w:after="0"/>
      </w:pPr>
      <w:r>
        <w:rPr>
          <w:b w:val="0"/>
          <w:sz w:val="18"/>
        </w:rPr>
        <w:t>Record each gap in Part 2 with the evidence reviewed. A critical gap in an in-flight study is reported at once to the joining site's PI and Site Director, who act under their own SOPs (SOP-N2 5.2.5).</w:t>
      </w:r>
    </w:p>
    <w:p>
      <w:pPr>
        <w:pStyle w:val="ListBullet"/>
        <w:spacing w:after="0"/>
      </w:pPr>
      <w:r>
        <w:rPr>
          <w:b w:val="0"/>
          <w:sz w:val="18"/>
        </w:rPr>
        <w:t>Critical and major gaps carry into F-901-02 as milestones with CAPA references.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447"/>
        <w:gridCol w:w="2160"/>
        <w:gridCol w:w="2447"/>
        <w:gridCol w:w="2160"/>
        <w:gridCol w:w="2447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Joining site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Legal entity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Form of joining (acquisition or affiliation) and expected entity type</w:t>
            </w:r>
          </w:p>
        </w:tc>
        <w:tc>
          <w:tcPr>
            <w:tcW w:type="dxa" w:w="2447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Assessment lead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opened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</w:tcPr>
          <w:p/>
        </w:tc>
        <w:tc>
          <w:tcPr>
            <w:tcW w:type="dxa" w:w="2447"/>
          </w:tcPr>
          <w:p/>
        </w:tc>
      </w:tr>
    </w:tbl>
    <w:p>
      <w:pPr>
        <w:spacing w:after="0"/>
      </w:pPr>
    </w:p>
    <w:p>
      <w:pPr>
        <w:pStyle w:val="Heading2"/>
      </w:pPr>
      <w:r>
        <w:t>Part 1. Areas assessed: staff qualifications (SOP-01, SOP-02)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632"/>
        <w:gridCol w:w="720"/>
        <w:gridCol w:w="720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763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No gap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Minor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Major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Critical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7632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CVs, licenses and certifications current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7632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GCP and human subjects training current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7632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Delegation logs complete and signed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7632"/>
          </w:tcPr>
          <w:p>
            <w:pPr>
              <w:spacing w:after="0"/>
            </w:pPr>
            <w:r>
              <w:rPr>
                <w:b w:val="0"/>
                <w:sz w:val="17"/>
              </w:rPr>
              <w:t>Debarment, disqualification and exclusion screens on file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Open studies and ISF quality (SOP-03)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632"/>
        <w:gridCol w:w="720"/>
        <w:gridCol w:w="720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763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No gap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Minor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Major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Critical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7632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List of in-flight studies (sponsor, phase, IND or IDE, IRB of record, PI, enrollment status, participants on treatment or in follow-up, next key dates)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7632"/>
          </w:tcPr>
          <w:p>
            <w:pPr>
              <w:spacing w:after="0"/>
            </w:pPr>
            <w:r>
              <w:rPr>
                <w:b w:val="0"/>
                <w:sz w:val="17"/>
              </w:rPr>
              <w:t>Sample ISF review against F-204-01, including consent versions used and delegation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Inspection and audit history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632"/>
        <w:gridCol w:w="720"/>
        <w:gridCol w:w="720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763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No gap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Minor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Major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Critical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7632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FDA inspections and classification, Form FDA 483 and response, warning letters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7632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Sponsor audit findings and IRB suspensions or terminations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7632"/>
          </w:tcPr>
          <w:p>
            <w:pPr>
              <w:spacing w:after="0"/>
            </w:pPr>
            <w:r>
              <w:rPr>
                <w:b w:val="0"/>
                <w:sz w:val="17"/>
              </w:rPr>
              <w:t>Open CAPAs and open commitments to FDA, sponsors or IRBs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IRB status (SOP-03)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632"/>
        <w:gridCol w:w="720"/>
        <w:gridCol w:w="720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763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No gap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Minor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Major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Critical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7632"/>
          </w:tcPr>
          <w:p>
            <w:pPr>
              <w:spacing w:after="0"/>
            </w:pPr>
            <w:r>
              <w:rPr>
                <w:b w:val="0"/>
                <w:sz w:val="17"/>
              </w:rPr>
              <w:t>IRBs of record, reliance agreements, FWA and IRB accounts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IP storage (SOP-06)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632"/>
        <w:gridCol w:w="720"/>
        <w:gridCol w:w="720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763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No gap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Minor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Major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Critical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7632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IP storage areas and temperature monitoring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7632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Excursion history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7632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Controlled-substance storage, DEA registration per location and state registration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7632"/>
          </w:tcPr>
          <w:p>
            <w:pPr>
              <w:spacing w:after="0"/>
            </w:pPr>
            <w:r>
              <w:rPr>
                <w:b w:val="0"/>
                <w:sz w:val="17"/>
              </w:rPr>
              <w:t>Schedule I researcher registration for each Schedule I protocol (21 CFR 1301.18)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Laboratory (SOP-11)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632"/>
        <w:gridCol w:w="720"/>
        <w:gridCol w:w="720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763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No gap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Minor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Major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Critical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7632"/>
          </w:tcPr>
          <w:p>
            <w:pPr>
              <w:spacing w:after="0"/>
            </w:pPr>
            <w:r>
              <w:rPr>
                <w:b w:val="0"/>
                <w:sz w:val="17"/>
              </w:rPr>
              <w:t>CLIA certificate type, holder, location, director and expiry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Systems (SOP-12)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632"/>
        <w:gridCol w:w="720"/>
        <w:gridCol w:w="720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763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No gap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Minor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Major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Critical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7632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eReg, CTMS, eSource, EHR, temperature monitoring and e-signature systems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7632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Fitness-for-purpose evidence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7632"/>
          </w:tcPr>
          <w:p>
            <w:pPr>
              <w:spacing w:after="0"/>
            </w:pPr>
            <w:r>
              <w:rPr>
                <w:b w:val="0"/>
                <w:sz w:val="17"/>
              </w:rPr>
              <w:t>Data ownership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HIPAA status (SOP-12)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632"/>
        <w:gridCol w:w="720"/>
        <w:gridCol w:w="720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763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No gap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Minor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Major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Critical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7632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Covered entity status and Notice of Privacy Practices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7632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Authorization templates in use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7632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Part 2 records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7632"/>
          </w:tcPr>
          <w:p>
            <w:pPr>
              <w:spacing w:after="0"/>
            </w:pPr>
            <w:r>
              <w:rPr>
                <w:b w:val="0"/>
                <w:sz w:val="17"/>
              </w:rPr>
              <w:t>Privacy incident history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Insurance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632"/>
        <w:gridCol w:w="720"/>
        <w:gridCol w:w="720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763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No gap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Minor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Major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Critical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7632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Professional liability, general liability and clinical trial coverage and limits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7632"/>
          </w:tcPr>
          <w:p>
            <w:pPr>
              <w:spacing w:after="0"/>
            </w:pPr>
            <w:r>
              <w:rPr>
                <w:b w:val="0"/>
                <w:sz w:val="17"/>
              </w:rPr>
              <w:t>Claims-made policies and tail coverage need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Contracts (SOP-M2, SOP-M1)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632"/>
        <w:gridCol w:w="720"/>
        <w:gridCol w:w="720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763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No gap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Minor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Major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Critical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7632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Open CTAs and budgets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7632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Service provider agreements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7632"/>
          </w:tcPr>
          <w:p>
            <w:pPr>
              <w:spacing w:after="0"/>
            </w:pPr>
            <w:r>
              <w:rPr>
                <w:b w:val="0"/>
                <w:sz w:val="17"/>
              </w:rPr>
              <w:t>Assignment and change-of-control clauses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Records (SOP-12)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632"/>
        <w:gridCol w:w="720"/>
        <w:gridCol w:w="720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763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No gap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Minor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Major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Critical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7632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Archived study records, location and custodian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7632"/>
          </w:tcPr>
          <w:p>
            <w:pPr>
              <w:spacing w:after="0"/>
            </w:pPr>
            <w:r>
              <w:rPr>
                <w:b w:val="0"/>
                <w:sz w:val="17"/>
              </w:rPr>
              <w:t>Retention end dates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State law (Appendix A)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632"/>
        <w:gridCol w:w="720"/>
        <w:gridCol w:w="720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763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No gap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Minor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Major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Critical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7632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State(s) where the site operates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7632"/>
          </w:tcPr>
          <w:p>
            <w:pPr>
              <w:spacing w:after="0"/>
            </w:pPr>
            <w:r>
              <w:rPr>
                <w:b w:val="0"/>
                <w:sz w:val="17"/>
              </w:rPr>
              <w:t>Appendix A covers each state, including corporate practice of medicine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Part 2. Findings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68"/>
        <w:gridCol w:w="1536"/>
        <w:gridCol w:w="3072"/>
        <w:gridCol w:w="768"/>
        <w:gridCol w:w="2304"/>
        <w:gridCol w:w="2304"/>
        <w:gridCol w:w="1536"/>
        <w:gridCol w:w="1536"/>
      </w:tblGrid>
      <w:tr>
        <w:trPr>
          <w:tblHeader w:val="true"/>
        </w:trPr>
        <w:tc>
          <w:tcPr>
            <w:tcW w:type="dxa" w:w="768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Gap no.</w:t>
            </w:r>
          </w:p>
        </w:tc>
        <w:tc>
          <w:tcPr>
            <w:tcW w:type="dxa" w:w="153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Area</w:t>
            </w:r>
          </w:p>
        </w:tc>
        <w:tc>
          <w:tcPr>
            <w:tcW w:type="dxa" w:w="307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Finding and evidence reviewed</w:t>
            </w:r>
          </w:p>
        </w:tc>
        <w:tc>
          <w:tcPr>
            <w:tcW w:type="dxa" w:w="768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Grade</w:t>
            </w:r>
          </w:p>
        </w:tc>
        <w:tc>
          <w:tcPr>
            <w:tcW w:type="dxa" w:w="230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Risk (participants, data, regulatory, business)</w:t>
            </w:r>
          </w:p>
        </w:tc>
        <w:tc>
          <w:tcPr>
            <w:tcW w:type="dxa" w:w="230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Action needed and timing (integration gate: day one, day 30, day 90, day 180)</w:t>
            </w:r>
          </w:p>
        </w:tc>
        <w:tc>
          <w:tcPr>
            <w:tcW w:type="dxa" w:w="153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Owner</w:t>
            </w:r>
          </w:p>
        </w:tc>
        <w:tc>
          <w:tcPr>
            <w:tcW w:type="dxa" w:w="153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Reported to site PI and Site Director (date, critical only)</w:t>
            </w:r>
          </w:p>
        </w:tc>
      </w:tr>
      <w:tr>
        <w:trPr>
          <w:cantSplit w:val="true"/>
          <w:trHeight w:val="461"/>
        </w:trPr>
        <w:tc>
          <w:tcPr>
            <w:tcW w:type="dxa" w:w="768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3072"/>
          </w:tcPr>
          <w:p>
            <w:pPr>
              <w:spacing w:after="0"/>
            </w:pPr>
          </w:p>
        </w:tc>
        <w:tc>
          <w:tcPr>
            <w:tcW w:type="dxa" w:w="768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768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3072"/>
          </w:tcPr>
          <w:p>
            <w:pPr>
              <w:spacing w:after="0"/>
            </w:pPr>
          </w:p>
        </w:tc>
        <w:tc>
          <w:tcPr>
            <w:tcW w:type="dxa" w:w="768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768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3072"/>
          </w:tcPr>
          <w:p>
            <w:pPr>
              <w:spacing w:after="0"/>
            </w:pPr>
          </w:p>
        </w:tc>
        <w:tc>
          <w:tcPr>
            <w:tcW w:type="dxa" w:w="768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768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3072"/>
          </w:tcPr>
          <w:p>
            <w:pPr>
              <w:spacing w:after="0"/>
            </w:pPr>
          </w:p>
        </w:tc>
        <w:tc>
          <w:tcPr>
            <w:tcW w:type="dxa" w:w="768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768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3072"/>
          </w:tcPr>
          <w:p>
            <w:pPr>
              <w:spacing w:after="0"/>
            </w:pPr>
          </w:p>
        </w:tc>
        <w:tc>
          <w:tcPr>
            <w:tcW w:type="dxa" w:w="768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768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3072"/>
          </w:tcPr>
          <w:p>
            <w:pPr>
              <w:spacing w:after="0"/>
            </w:pPr>
          </w:p>
        </w:tc>
        <w:tc>
          <w:tcPr>
            <w:tcW w:type="dxa" w:w="768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768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3072"/>
          </w:tcPr>
          <w:p>
            <w:pPr>
              <w:spacing w:after="0"/>
            </w:pPr>
          </w:p>
        </w:tc>
        <w:tc>
          <w:tcPr>
            <w:tcW w:type="dxa" w:w="768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768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3072"/>
          </w:tcPr>
          <w:p>
            <w:pPr>
              <w:spacing w:after="0"/>
            </w:pPr>
          </w:p>
        </w:tc>
        <w:tc>
          <w:tcPr>
            <w:tcW w:type="dxa" w:w="768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768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3072"/>
          </w:tcPr>
          <w:p>
            <w:pPr>
              <w:spacing w:after="0"/>
            </w:pPr>
          </w:p>
        </w:tc>
        <w:tc>
          <w:tcPr>
            <w:tcW w:type="dxa" w:w="768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768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3072"/>
          </w:tcPr>
          <w:p>
            <w:pPr>
              <w:spacing w:after="0"/>
            </w:pPr>
          </w:p>
        </w:tc>
        <w:tc>
          <w:tcPr>
            <w:tcW w:type="dxa" w:w="768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768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3072"/>
          </w:tcPr>
          <w:p>
            <w:pPr>
              <w:spacing w:after="0"/>
            </w:pPr>
          </w:p>
        </w:tc>
        <w:tc>
          <w:tcPr>
            <w:tcW w:type="dxa" w:w="768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768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3072"/>
          </w:tcPr>
          <w:p>
            <w:pPr>
              <w:spacing w:after="0"/>
            </w:pPr>
          </w:p>
        </w:tc>
        <w:tc>
          <w:tcPr>
            <w:tcW w:type="dxa" w:w="768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768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3072"/>
          </w:tcPr>
          <w:p>
            <w:pPr>
              <w:spacing w:after="0"/>
            </w:pPr>
          </w:p>
        </w:tc>
        <w:tc>
          <w:tcPr>
            <w:tcW w:type="dxa" w:w="768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768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3072"/>
          </w:tcPr>
          <w:p>
            <w:pPr>
              <w:spacing w:after="0"/>
            </w:pPr>
          </w:p>
        </w:tc>
        <w:tc>
          <w:tcPr>
            <w:tcW w:type="dxa" w:w="768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768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3072"/>
          </w:tcPr>
          <w:p>
            <w:pPr>
              <w:spacing w:after="0"/>
            </w:pPr>
          </w:p>
        </w:tc>
        <w:tc>
          <w:tcPr>
            <w:tcW w:type="dxa" w:w="768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Part 3. Recommendation and decision</w:t>
      </w:r>
    </w:p>
    <w:p>
      <w:pPr>
        <w:spacing w:after="40"/>
      </w:pPr>
      <w:r>
        <w:rPr>
          <w:b w:val="0"/>
          <w:sz w:val="18"/>
        </w:rPr>
        <w:t>Network Quality Lead recommendation (proceed, proceed with conditions, decline) and the conditions:</w:t>
      </w: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447"/>
        <w:gridCol w:w="2160"/>
        <w:gridCol w:w="2447"/>
        <w:gridCol w:w="2160"/>
        <w:gridCol w:w="2447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Decision (proceed, proceed with conditions, decline)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Conditions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Decision date</w:t>
            </w:r>
          </w:p>
        </w:tc>
        <w:tc>
          <w:tcPr>
            <w:tcW w:type="dxa" w:w="2447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870"/>
        <w:gridCol w:w="3594"/>
        <w:gridCol w:w="4147"/>
        <w:gridCol w:w="2211"/>
      </w:tblGrid>
      <w:tr>
        <w:trPr>
          <w:tblHeader w:val="true"/>
        </w:trPr>
        <w:tc>
          <w:tcPr>
            <w:tcW w:type="dxa" w:w="387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Role</w:t>
            </w:r>
          </w:p>
        </w:tc>
        <w:tc>
          <w:tcPr>
            <w:tcW w:type="dxa" w:w="359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Printed Name</w:t>
            </w:r>
          </w:p>
        </w:tc>
        <w:tc>
          <w:tcPr>
            <w:tcW w:type="dxa" w:w="4147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Signature</w:t>
            </w:r>
          </w:p>
        </w:tc>
        <w:tc>
          <w:tcPr>
            <w:tcW w:type="dxa" w:w="2211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</w:tr>
      <w:tr>
        <w:trPr>
          <w:cantSplit w:val="true"/>
          <w:trHeight w:val="547"/>
        </w:trPr>
        <w:tc>
          <w:tcPr>
            <w:tcW w:type="dxa" w:w="3870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Network Quality Lead</w:t>
            </w:r>
          </w:p>
        </w:tc>
        <w:tc>
          <w:tcPr>
            <w:tcW w:type="dxa" w:w="3594"/>
          </w:tcPr>
          <w:p>
            <w:pPr>
              <w:keepNext/>
              <w:spacing w:after="0"/>
            </w:pPr>
          </w:p>
        </w:tc>
        <w:tc>
          <w:tcPr>
            <w:tcW w:type="dxa" w:w="4147"/>
          </w:tcPr>
          <w:p>
            <w:pPr>
              <w:keepNext/>
              <w:spacing w:after="0"/>
            </w:pPr>
          </w:p>
        </w:tc>
        <w:tc>
          <w:tcPr>
            <w:tcW w:type="dxa" w:w="2211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3870"/>
          </w:tcPr>
          <w:p>
            <w:pPr>
              <w:spacing w:after="0"/>
            </w:pPr>
            <w:r>
              <w:rPr>
                <w:b w:val="0"/>
                <w:sz w:val="17"/>
              </w:rPr>
              <w:t>Network Executive</w:t>
            </w:r>
          </w:p>
        </w:tc>
        <w:tc>
          <w:tcPr>
            <w:tcW w:type="dxa" w:w="3594"/>
          </w:tcPr>
          <w:p>
            <w:pPr>
              <w:spacing w:after="0"/>
            </w:pPr>
          </w:p>
        </w:tc>
        <w:tc>
          <w:tcPr>
            <w:tcW w:type="dxa" w:w="4147"/>
          </w:tcPr>
          <w:p>
            <w:pPr>
              <w:spacing w:after="0"/>
            </w:pPr>
          </w:p>
        </w:tc>
        <w:tc>
          <w:tcPr>
            <w:tcW w:type="dxa" w:w="2211"/>
          </w:tcPr>
          <w:p>
            <w:pPr>
              <w:spacing w:after="0"/>
            </w:pPr>
          </w:p>
        </w:tc>
      </w:tr>
    </w:tbl>
    <w:p>
      <w:pPr>
        <w:spacing w:after="0" w:before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5840" w:h="12240" w:orient="landscape"/>
      <w:pgMar w:top="1296" w:right="1008" w:bottom="1008" w:left="1008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13824" w:val="right"/>
      </w:tabs>
    </w:pPr>
    <w:r>
      <w:rPr>
        <w:b w:val="0"/>
        <w:color w:val="595959"/>
        <w:sz w:val="16"/>
      </w:rPr>
      <w:t xml:space="preserve">F-901-01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2.0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3317"/>
      <w:gridCol w:w="6359"/>
      <w:gridCol w:w="4147"/>
    </w:tblGrid>
    <w:tr>
      <w:tc>
        <w:tcPr>
          <w:tcW w:type="dxa" w:w="3317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6359"/>
        </w:tcPr>
        <w:p>
          <w:pPr>
            <w:jc w:val="center"/>
          </w:pPr>
          <w:r>
            <w:rPr>
              <w:b/>
              <w:color w:val="404040"/>
              <w:sz w:val="17"/>
            </w:rPr>
            <w:t>F-901-01 Member Site Gap Assessment</w:t>
          </w:r>
        </w:p>
      </w:tc>
      <w:tc>
        <w:tcPr>
          <w:tcW w:type="dxa" w:w="4147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SOP-N2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F-901-01 Member Site Gap Assessment</dc:title>
  <dc:subject>Form</dc:subject>
  <dc:creator>American Institute for Medical Research (AIMR)</dc:creator>
  <cp:keywords>SOP; GCP; ICH E6(R3); clinical research site</cp:keywords>
  <dc:description>Independent Site SOP Library: Network Edition, template release 2.0.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Network Edition</cp:category>
</cp:coreProperties>
</file>