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Network Operating Model and Appendix B Adoption Record</w:t>
      </w:r>
    </w:p>
    <w:p>
      <w:r>
        <w:rPr>
          <w:b/>
          <w:sz w:val="18"/>
        </w:rPr>
        <w:t xml:space="preserve">Purpose: </w:t>
      </w:r>
      <w:r>
        <w:rPr>
          <w:b w:val="0"/>
          <w:sz w:val="18"/>
        </w:rPr>
        <w:t>Model N only. Records the network day-one minimum, Network Office roles, each member site's legal entity and entity type, the HIPAA structure, the Appendix B column that applies to each site with any row exception, how each Site decision is resolved, network minimums, local addenda in force, the required network agreement terms for each separate entity, and acceptance by each member Site Director.</w:t>
      </w:r>
    </w:p>
    <w:p>
      <w:pPr>
        <w:spacing w:after="0"/>
      </w:pPr>
      <w:r>
        <w:rPr>
          <w:b/>
          <w:sz w:val="18"/>
        </w:rPr>
        <w:t>Instructions</w:t>
      </w:r>
    </w:p>
    <w:p>
      <w:pPr>
        <w:pStyle w:val="ListBullet"/>
        <w:spacing w:after="0"/>
      </w:pPr>
      <w:r>
        <w:rPr>
          <w:b w:val="0"/>
          <w:sz w:val="18"/>
        </w:rPr>
        <w:t>The Network Executive and Network Quality Lead complete this record before any member site adopts network SOPs (SOP-N1 5.2.1). Attach the adopted version of Appendix B.</w:t>
      </w:r>
    </w:p>
    <w:p>
      <w:pPr>
        <w:pStyle w:val="ListBullet"/>
        <w:spacing w:after="0"/>
      </w:pPr>
      <w:r>
        <w:rPr>
          <w:b w:val="0"/>
          <w:sz w:val="18"/>
        </w:rPr>
        <w:t>Part 0 is the network's single day-one record. It mirrors the network-level and event-triggered rows of SOP-N1 5.1.1. Day one is complete when every network-level row has a date. Per-site rows are recorded on each site's F-901-02 Part 0.</w:t>
      </w:r>
    </w:p>
    <w:p>
      <w:pPr>
        <w:pStyle w:val="ListBullet"/>
        <w:spacing w:after="0"/>
      </w:pPr>
      <w:r>
        <w:rPr>
          <w:b w:val="0"/>
          <w:sz w:val="18"/>
        </w:rPr>
        <w:t>Entity type: (a) the network entity itself; (b) a separate legal entity under common ownership or control (for example a subsidiary, or a professional corporation under a management services arrangement); (c) an independent entity under a network agreement. A platform that controls its professional corporations through a management services organization records each of them as type (b).</w:t>
      </w:r>
    </w:p>
    <w:p>
      <w:pPr>
        <w:pStyle w:val="ListBullet"/>
        <w:spacing w:after="0"/>
      </w:pPr>
      <w:r>
        <w:rPr>
          <w:b w:val="0"/>
          <w:sz w:val="18"/>
        </w:rPr>
        <w:t>Hybrid Rule (SOP-N1 5.2.2): the N-Integrated column applies only to type (a) sites. Types (b) and (c) use the N-Affiliated column for every Appendix B row. A different cell for a separate entity is a row exception: record it in Part 4 with counsel's written confirmation for that site and row, and, where work or PHI crosses a legal-entity line, the staffing agreement and F-905-01 flow that cover it. A general grant of authority in the network agreement is not an exception.</w:t>
      </w:r>
    </w:p>
    <w:p>
      <w:pPr>
        <w:pStyle w:val="ListBullet"/>
        <w:spacing w:after="0"/>
      </w:pPr>
      <w:r>
        <w:rPr>
          <w:b w:val="0"/>
          <w:sz w:val="18"/>
        </w:rPr>
        <w:t>An affiliated covered entity (ACE) includes only covered entities. Where the network entity is not a covered entity and ACE member, record the BAA between the Network Office and the ACE in Part 3 (SOP-N6 5.3.3).</w:t>
      </w:r>
    </w:p>
    <w:p>
      <w:pPr>
        <w:pStyle w:val="ListBullet"/>
        <w:spacing w:after="0"/>
      </w:pPr>
      <w:r>
        <w:rPr>
          <w:b w:val="0"/>
          <w:sz w:val="18"/>
        </w:rPr>
        <w:t>Never assign away from the site a duty listed in Appendix B Part 1.</w:t>
      </w:r>
    </w:p>
    <w:p>
      <w:pPr>
        <w:pStyle w:val="ListBullet"/>
        <w:spacing w:after="0"/>
      </w:pPr>
      <w:r>
        <w:rPr>
          <w:b w:val="0"/>
          <w:sz w:val="18"/>
        </w:rPr>
        <w:t>The Network Quality Committee approves. Each member Site Director signs to accept the site's assignments.</w:t>
      </w:r>
    </w:p>
    <w:p>
      <w:pPr>
        <w:pStyle w:val="ListBullet"/>
        <w:spacing w:after="0"/>
      </w:pPr>
      <w:r>
        <w:rPr>
          <w:b w:val="0"/>
          <w:sz w:val="18"/>
        </w:rPr>
        <w:t>Re-approval (SOP-N1 5.2.5): a joining site that adopts the defaults for its entity type, or a one-row change that is not a row exception, is approved by the Network Quality Lead and ratified at the next committee meeting. A change of entity type or a row exception needs committee approval first. Keep superseded versions.</w:t>
      </w:r>
    </w:p>
    <w:p>
      <w:pPr>
        <w:pStyle w:val="ListBullet"/>
        <w:spacing w:after="0"/>
      </w:pPr>
      <w:r>
        <w:rPr>
          <w:b w:val="0"/>
          <w:sz w:val="18"/>
        </w:rPr>
        <w:t>Part 7: complete one copy for each separate member site entity. Record the clause that states each required term (SOP-N1 5.8.1).</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Network name</w:t>
            </w:r>
          </w:p>
        </w:tc>
        <w:tc>
          <w:tcPr>
            <w:tcW w:type="dxa" w:w="2447"/>
          </w:tcPr>
          <w:p/>
        </w:tc>
        <w:tc>
          <w:tcPr>
            <w:tcW w:type="dxa" w:w="2160"/>
            <w:shd w:val="clear" w:color="auto" w:fill="D9E2F3"/>
          </w:tcPr>
          <w:p>
            <w:pPr>
              <w:spacing w:after="0"/>
            </w:pPr>
            <w:r>
              <w:rPr>
                <w:b/>
                <w:sz w:val="17"/>
              </w:rPr>
              <w:t>Record version</w:t>
            </w:r>
          </w:p>
        </w:tc>
        <w:tc>
          <w:tcPr>
            <w:tcW w:type="dxa" w:w="2447"/>
          </w:tcPr>
          <w:p/>
        </w:tc>
        <w:tc>
          <w:tcPr>
            <w:tcW w:type="dxa" w:w="2160"/>
            <w:shd w:val="clear" w:color="auto" w:fill="D9E2F3"/>
          </w:tcPr>
          <w:p>
            <w:pPr>
              <w:spacing w:after="0"/>
            </w:pPr>
            <w:r>
              <w:rPr>
                <w:b/>
                <w:sz w:val="17"/>
              </w:rPr>
              <w:t>Effective date</w:t>
            </w:r>
          </w:p>
        </w:tc>
        <w:tc>
          <w:tcPr>
            <w:tcW w:type="dxa" w:w="2447"/>
          </w:tcPr>
          <w:p/>
        </w:tc>
      </w:tr>
      <w:tr>
        <w:trPr>
          <w:trHeight w:val="432"/>
        </w:trPr>
        <w:tc>
          <w:tcPr>
            <w:tcW w:type="dxa" w:w="2160"/>
            <w:shd w:val="clear" w:color="auto" w:fill="D9E2F3"/>
          </w:tcPr>
          <w:p>
            <w:pPr>
              <w:spacing w:after="0"/>
            </w:pPr>
            <w:r>
              <w:rPr>
                <w:b/>
                <w:sz w:val="17"/>
              </w:rPr>
              <w:t>Appendix B version adopted</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0. Day-one minimum (SOP-N1 5.1.1)</w:t>
      </w:r>
    </w:p>
    <w:tbl>
      <w:tblPr>
        <w:tblStyle w:val="TableGrid"/>
        <w:tblW w:type="auto" w:w="0"/>
        <w:jc w:val="left"/>
        <w:tblLayout w:type="fixed"/>
        <w:tblLook w:firstColumn="1" w:firstRow="1" w:lastColumn="0" w:lastRow="0" w:noHBand="0" w:noVBand="1" w:val="04A0"/>
      </w:tblPr>
      <w:tblGrid>
        <w:gridCol w:w="9792"/>
        <w:gridCol w:w="720"/>
        <w:gridCol w:w="720"/>
        <w:gridCol w:w="2592"/>
      </w:tblGrid>
      <w:tr>
        <w:trPr>
          <w:tblHeader w:val="true"/>
        </w:trPr>
        <w:tc>
          <w:tcPr>
            <w:tcW w:type="dxa" w:w="9792"/>
            <w:shd w:val="clear" w:color="auto" w:fill="D9E2F3"/>
          </w:tcPr>
          <w:p>
            <w:pPr>
              <w:spacing w:after="0"/>
            </w:pPr>
            <w:r>
              <w:rPr>
                <w:b/>
                <w:sz w:val="17"/>
              </w:rPr>
              <w:t>Item</w:t>
            </w:r>
          </w:p>
        </w:tc>
        <w:tc>
          <w:tcPr>
            <w:tcW w:type="dxa" w:w="720"/>
            <w:shd w:val="clear" w:color="auto" w:fill="D9E2F3"/>
          </w:tcPr>
          <w:p>
            <w:pPr>
              <w:spacing w:after="0"/>
            </w:pPr>
            <w:r>
              <w:rPr>
                <w:b/>
                <w:sz w:val="17"/>
              </w:rPr>
              <w:t>Date done</w:t>
            </w:r>
          </w:p>
        </w:tc>
        <w:tc>
          <w:tcPr>
            <w:tcW w:type="dxa" w:w="720"/>
            <w:shd w:val="clear" w:color="auto" w:fill="D9E2F3"/>
          </w:tcPr>
          <w:p>
            <w:pPr>
              <w:spacing w:after="0"/>
            </w:pPr>
            <w:r>
              <w:rPr>
                <w:b/>
                <w:sz w:val="17"/>
              </w:rPr>
              <w:t>By</w:t>
            </w:r>
          </w:p>
        </w:tc>
        <w:tc>
          <w:tcPr>
            <w:tcW w:type="dxa" w:w="2592"/>
            <w:shd w:val="clear" w:color="auto" w:fill="D9E2F3"/>
          </w:tcPr>
          <w:p>
            <w:pPr>
              <w:spacing w:after="0"/>
            </w:pPr>
            <w:r>
              <w:rPr>
                <w:b/>
                <w:sz w:val="17"/>
              </w:rPr>
              <w:t>Comment</w:t>
            </w:r>
          </w:p>
        </w:tc>
      </w:tr>
      <w:tr>
        <w:trPr>
          <w:cantSplit w:val="true"/>
          <w:trHeight w:val="403"/>
        </w:trPr>
        <w:tc>
          <w:tcPr>
            <w:tcW w:type="dxa" w:w="9792"/>
          </w:tcPr>
          <w:p>
            <w:pPr>
              <w:spacing w:after="0"/>
            </w:pPr>
            <w:r>
              <w:rPr>
                <w:b w:val="0"/>
                <w:sz w:val="17"/>
              </w:rPr>
              <w:t xml:space="preserve">Network level: Network Executive, Network Quality Lead and Network Privacy Officer named; network QA contact and </w:t>
            </w:r>
            <w:r>
              <w:rPr>
                <w:b w:val="0"/>
                <w:sz w:val="17"/>
                <w:highlight w:val="yellow"/>
              </w:rPr>
              <w:t>[NETWORK GOVERNING BODY CONTACT]</w:t>
            </w:r>
            <w:r>
              <w:rPr>
                <w:b w:val="0"/>
                <w:sz w:val="17"/>
              </w:rPr>
              <w:t xml:space="preserve"> published to every member site</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level: this record approved, with each member site's legal entity, entity type and locations; Appendix B adopted with any row exceptions (Part 4)</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level: HIPAA structure recorded, including whether the network entity is a covered entity and ACE member (Part 3); F-905-01 opened with every existing cross-entity flow; any flow without a pathway stopped</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level: network agreement signed for each separate member site entity, covering the SOP-N1 5.8.1 terms (Part 7); corporate authority recorded for each type (a) site</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level: F-901-02 integration plan with a network effective date for each member site</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level: metric definitions with interim thresholds, escalation tiers, same-day safety route, and the 2-business-day finding-report rule in place (SOP-N4)</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level: same-day privacy incident route from each site Privacy Officer to the Network Privacy Officer (SOP-N6 5.8)</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Event: before the first sponsor response or agreement, intake address published, signatory per site recorded, counsel review of existing payments between entities, enrollment-pay default adopted, F-902-01 in use (SOP-N3)</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Event: before the first cross-site work, delegation, licensure, staffing or services agreement, HIPAA status, F-105-01 entry and blinding status recorded on F-904-01 (SOP-N5)</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Event: before the first PHI flow between entities or shared system, pathway on F-905-01, BAA wherever the Network Office handles another covered entity's PHI, site partitions tested (SOP-N6)</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 xml:space="preserve">Dated open-items list for the rest of the Network Edition, due within </w:t>
            </w:r>
            <w:r>
              <w:rPr>
                <w:b w:val="0"/>
                <w:sz w:val="17"/>
                <w:highlight w:val="green"/>
              </w:rPr>
              <w:t>[DEFAULT: 6 months]</w:t>
            </w:r>
            <w:r>
              <w:rPr>
                <w:b w:val="0"/>
                <w:sz w:val="17"/>
              </w:rPr>
              <w:t xml:space="preserve"> of the network start date (SOP-N1 5.1.3)</w:t>
            </w:r>
          </w:p>
        </w:tc>
        <w:tc>
          <w:tcPr>
            <w:tcW w:type="dxa" w:w="720"/>
          </w:tcPr>
          <w:p>
            <w:pPr>
              <w:spacing w:after="0"/>
            </w:pPr>
          </w:p>
        </w:tc>
        <w:tc>
          <w:tcPr>
            <w:tcW w:type="dxa" w:w="720"/>
          </w:tcPr>
          <w:p>
            <w:pPr>
              <w:spacing w:after="0"/>
            </w:pPr>
          </w:p>
        </w:tc>
        <w:tc>
          <w:tcPr>
            <w:tcW w:type="dxa" w:w="2592"/>
          </w:tcPr>
          <w:p>
            <w:pPr>
              <w:spacing w:after="0"/>
            </w:pPr>
          </w:p>
        </w:tc>
      </w:tr>
    </w:tbl>
    <w:p>
      <w:pPr>
        <w:spacing w:after="40"/>
      </w:pPr>
    </w:p>
    <w:p>
      <w:pPr>
        <w:pStyle w:val="Heading2"/>
      </w:pPr>
      <w:r>
        <w:t>Part 1. Operating model and Network Office roles (SOP-N1 5.3.1)</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Network variant (descriptive only: integrated, affiliated or mixed)</w:t>
            </w:r>
          </w:p>
        </w:tc>
        <w:tc>
          <w:tcPr>
            <w:tcW w:type="dxa" w:w="2447"/>
          </w:tcPr>
          <w:p/>
        </w:tc>
        <w:tc>
          <w:tcPr>
            <w:tcW w:type="dxa" w:w="2160"/>
            <w:shd w:val="clear" w:color="auto" w:fill="D9E2F3"/>
          </w:tcPr>
          <w:p>
            <w:pPr>
              <w:spacing w:after="0"/>
            </w:pPr>
            <w:r>
              <w:rPr>
                <w:b/>
                <w:sz w:val="17"/>
              </w:rPr>
              <w:t>Network start date</w:t>
            </w:r>
          </w:p>
        </w:tc>
        <w:tc>
          <w:tcPr>
            <w:tcW w:type="dxa" w:w="2447"/>
          </w:tcPr>
          <w:p/>
        </w:tc>
        <w:tc>
          <w:tcPr>
            <w:tcW w:type="dxa" w:w="2160"/>
            <w:shd w:val="clear" w:color="auto" w:fill="D9E2F3"/>
          </w:tcPr>
          <w:p>
            <w:pPr>
              <w:spacing w:after="0"/>
            </w:pPr>
            <w:r>
              <w:rPr>
                <w:b/>
                <w:sz w:val="17"/>
              </w:rPr>
              <w:t>Network entity</w:t>
            </w:r>
          </w:p>
        </w:tc>
        <w:tc>
          <w:tcPr>
            <w:tcW w:type="dxa" w:w="2447"/>
          </w:tcPr>
          <w:p/>
        </w:tc>
      </w:tr>
      <w:tr>
        <w:trPr>
          <w:trHeight w:val="432"/>
        </w:trPr>
        <w:tc>
          <w:tcPr>
            <w:tcW w:type="dxa" w:w="2160"/>
            <w:shd w:val="clear" w:color="auto" w:fill="D9E2F3"/>
          </w:tcPr>
          <w:p>
            <w:pPr>
              <w:spacing w:after="0"/>
            </w:pPr>
            <w:r>
              <w:rPr>
                <w:b/>
                <w:sz w:val="17"/>
              </w:rPr>
              <w:t>Network Governing Body</w:t>
            </w:r>
          </w:p>
        </w:tc>
        <w:tc>
          <w:tcPr>
            <w:tcW w:type="dxa" w:w="2447"/>
          </w:tcPr>
          <w:p/>
        </w:tc>
        <w:tc>
          <w:tcPr>
            <w:tcW w:type="dxa" w:w="2160"/>
            <w:shd w:val="clear" w:color="auto" w:fill="D9E2F3"/>
          </w:tcPr>
          <w:p>
            <w:pPr>
              <w:spacing w:after="0"/>
            </w:pPr>
            <w:r>
              <w:rPr>
                <w:b/>
                <w:sz w:val="17"/>
                <w:highlight w:val="yellow"/>
              </w:rPr>
              <w:t>[NETWORK GOVERNING BODY CONTACT]</w:t>
            </w:r>
          </w:p>
        </w:tc>
        <w:tc>
          <w:tcPr>
            <w:tcW w:type="dxa" w:w="2447"/>
          </w:tcPr>
          <w:p/>
        </w:tc>
        <w:tc>
          <w:tcPr>
            <w:tcW w:type="dxa" w:w="2160"/>
            <w:shd w:val="clear" w:color="auto" w:fill="D9E2F3"/>
          </w:tcPr>
          <w:p>
            <w:pPr>
              <w:spacing w:after="0"/>
            </w:pPr>
            <w:r>
              <w:rPr>
                <w:b/>
                <w:sz w:val="17"/>
              </w:rPr>
              <w:t>Network Executive</w:t>
            </w:r>
          </w:p>
        </w:tc>
        <w:tc>
          <w:tcPr>
            <w:tcW w:type="dxa" w:w="2447"/>
          </w:tcPr>
          <w:p/>
        </w:tc>
      </w:tr>
      <w:tr>
        <w:trPr>
          <w:trHeight w:val="432"/>
        </w:trPr>
        <w:tc>
          <w:tcPr>
            <w:tcW w:type="dxa" w:w="2160"/>
            <w:shd w:val="clear" w:color="auto" w:fill="D9E2F3"/>
          </w:tcPr>
          <w:p>
            <w:pPr>
              <w:spacing w:after="0"/>
            </w:pPr>
            <w:r>
              <w:rPr>
                <w:b/>
                <w:sz w:val="17"/>
              </w:rPr>
              <w:t>Network Quality Lead</w:t>
            </w:r>
          </w:p>
        </w:tc>
        <w:tc>
          <w:tcPr>
            <w:tcW w:type="dxa" w:w="2447"/>
          </w:tcPr>
          <w:p/>
        </w:tc>
        <w:tc>
          <w:tcPr>
            <w:tcW w:type="dxa" w:w="2160"/>
            <w:shd w:val="clear" w:color="auto" w:fill="D9E2F3"/>
          </w:tcPr>
          <w:p>
            <w:pPr>
              <w:spacing w:after="0"/>
            </w:pPr>
            <w:r>
              <w:rPr>
                <w:b/>
                <w:sz w:val="17"/>
              </w:rPr>
              <w:t>Network Privacy Officer</w:t>
            </w:r>
          </w:p>
        </w:tc>
        <w:tc>
          <w:tcPr>
            <w:tcW w:type="dxa" w:w="2447"/>
          </w:tcPr>
          <w:p/>
        </w:tc>
        <w:tc>
          <w:tcPr>
            <w:tcW w:type="dxa" w:w="2160"/>
            <w:shd w:val="clear" w:color="auto" w:fill="D9E2F3"/>
          </w:tcPr>
          <w:p>
            <w:pPr>
              <w:spacing w:after="0"/>
            </w:pPr>
            <w:r>
              <w:rPr>
                <w:b/>
                <w:sz w:val="17"/>
              </w:rPr>
              <w:t>Network Quality Committee members</w:t>
            </w:r>
          </w:p>
        </w:tc>
        <w:tc>
          <w:tcPr>
            <w:tcW w:type="dxa" w:w="2447"/>
          </w:tcPr>
          <w:p/>
        </w:tc>
      </w:tr>
      <w:tr>
        <w:trPr>
          <w:trHeight w:val="432"/>
        </w:trPr>
        <w:tc>
          <w:tcPr>
            <w:tcW w:type="dxa" w:w="2160"/>
            <w:shd w:val="clear" w:color="auto" w:fill="D9E2F3"/>
          </w:tcPr>
          <w:p>
            <w:pPr>
              <w:spacing w:after="0"/>
            </w:pPr>
            <w:r>
              <w:rPr>
                <w:b/>
                <w:sz w:val="17"/>
              </w:rPr>
              <w:t>Other Network Office roles and holders (Regulatory, Contracts and Finance, Clinical Operations, Training, Security, Medical Director), with any combined roles</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2. Member entities, entity types and locations</w:t>
      </w:r>
    </w:p>
    <w:tbl>
      <w:tblPr>
        <w:tblStyle w:val="TableGrid"/>
        <w:tblW w:type="auto" w:w="0"/>
        <w:jc w:val="left"/>
        <w:tblLayout w:type="fixed"/>
        <w:tblLook w:firstColumn="1" w:firstRow="1" w:lastColumn="0" w:lastRow="0" w:noHBand="0" w:noVBand="1" w:val="04A0"/>
      </w:tblPr>
      <w:tblGrid>
        <w:gridCol w:w="1626"/>
        <w:gridCol w:w="1626"/>
        <w:gridCol w:w="813"/>
        <w:gridCol w:w="1626"/>
        <w:gridCol w:w="813"/>
        <w:gridCol w:w="1626"/>
        <w:gridCol w:w="1626"/>
        <w:gridCol w:w="813"/>
        <w:gridCol w:w="813"/>
        <w:gridCol w:w="813"/>
        <w:gridCol w:w="813"/>
        <w:gridCol w:w="813"/>
      </w:tblGrid>
      <w:tr>
        <w:trPr>
          <w:tblHeader w:val="true"/>
        </w:trPr>
        <w:tc>
          <w:tcPr>
            <w:tcW w:type="dxa" w:w="1626"/>
            <w:shd w:val="clear" w:color="auto" w:fill="D9E2F3"/>
          </w:tcPr>
          <w:p>
            <w:pPr>
              <w:spacing w:after="0"/>
            </w:pPr>
            <w:r>
              <w:rPr>
                <w:b/>
                <w:sz w:val="17"/>
              </w:rPr>
              <w:t>Member site</w:t>
            </w:r>
          </w:p>
        </w:tc>
        <w:tc>
          <w:tcPr>
            <w:tcW w:type="dxa" w:w="1626"/>
            <w:shd w:val="clear" w:color="auto" w:fill="D9E2F3"/>
          </w:tcPr>
          <w:p>
            <w:pPr>
              <w:spacing w:after="0"/>
            </w:pPr>
            <w:r>
              <w:rPr>
                <w:b/>
                <w:sz w:val="17"/>
              </w:rPr>
              <w:t>Legal entity</w:t>
            </w:r>
          </w:p>
        </w:tc>
        <w:tc>
          <w:tcPr>
            <w:tcW w:type="dxa" w:w="813"/>
            <w:shd w:val="clear" w:color="auto" w:fill="D9E2F3"/>
          </w:tcPr>
          <w:p>
            <w:pPr>
              <w:spacing w:after="0"/>
            </w:pPr>
            <w:r>
              <w:rPr>
                <w:b/>
                <w:sz w:val="17"/>
              </w:rPr>
              <w:t>Entity type (a, b or c)</w:t>
            </w:r>
          </w:p>
        </w:tc>
        <w:tc>
          <w:tcPr>
            <w:tcW w:type="dxa" w:w="1626"/>
            <w:shd w:val="clear" w:color="auto" w:fill="D9E2F3"/>
          </w:tcPr>
          <w:p>
            <w:pPr>
              <w:spacing w:after="0"/>
            </w:pPr>
            <w:r>
              <w:rPr>
                <w:b/>
                <w:sz w:val="17"/>
              </w:rPr>
              <w:t>Appendix B column (N-Integrated for type a; N-Affiliated otherwise)</w:t>
            </w:r>
          </w:p>
        </w:tc>
        <w:tc>
          <w:tcPr>
            <w:tcW w:type="dxa" w:w="813"/>
            <w:shd w:val="clear" w:color="auto" w:fill="D9E2F3"/>
          </w:tcPr>
          <w:p>
            <w:pPr>
              <w:spacing w:after="0"/>
            </w:pPr>
            <w:r>
              <w:rPr>
                <w:b/>
                <w:sz w:val="17"/>
              </w:rPr>
              <w:t>Row exceptions in Part 4 (Y/N)</w:t>
            </w:r>
          </w:p>
        </w:tc>
        <w:tc>
          <w:tcPr>
            <w:tcW w:type="dxa" w:w="1626"/>
            <w:shd w:val="clear" w:color="auto" w:fill="D9E2F3"/>
          </w:tcPr>
          <w:p>
            <w:pPr>
              <w:spacing w:after="0"/>
            </w:pPr>
            <w:r>
              <w:rPr>
                <w:b/>
                <w:sz w:val="17"/>
              </w:rPr>
              <w:t>Corporate practice of medicine confirmed by counsel (date, SOP-N1 5.2.3)</w:t>
            </w:r>
          </w:p>
        </w:tc>
        <w:tc>
          <w:tcPr>
            <w:tcW w:type="dxa" w:w="1626"/>
            <w:shd w:val="clear" w:color="auto" w:fill="D9E2F3"/>
          </w:tcPr>
          <w:p>
            <w:pPr>
              <w:spacing w:after="0"/>
            </w:pPr>
            <w:r>
              <w:rPr>
                <w:b/>
                <w:sz w:val="17"/>
              </w:rPr>
              <w:t>Locations (addresses)</w:t>
            </w:r>
          </w:p>
        </w:tc>
        <w:tc>
          <w:tcPr>
            <w:tcW w:type="dxa" w:w="813"/>
            <w:shd w:val="clear" w:color="auto" w:fill="D9E2F3"/>
          </w:tcPr>
          <w:p>
            <w:pPr>
              <w:spacing w:after="0"/>
            </w:pPr>
            <w:r>
              <w:rPr>
                <w:b/>
                <w:sz w:val="17"/>
              </w:rPr>
              <w:t>State(s)</w:t>
            </w:r>
          </w:p>
        </w:tc>
        <w:tc>
          <w:tcPr>
            <w:tcW w:type="dxa" w:w="813"/>
            <w:shd w:val="clear" w:color="auto" w:fill="D9E2F3"/>
          </w:tcPr>
          <w:p>
            <w:pPr>
              <w:spacing w:after="0"/>
            </w:pPr>
            <w:r>
              <w:rPr>
                <w:b/>
                <w:sz w:val="17"/>
              </w:rPr>
              <w:t>Site Director</w:t>
            </w:r>
          </w:p>
        </w:tc>
        <w:tc>
          <w:tcPr>
            <w:tcW w:type="dxa" w:w="813"/>
            <w:shd w:val="clear" w:color="auto" w:fill="D9E2F3"/>
          </w:tcPr>
          <w:p>
            <w:pPr>
              <w:spacing w:after="0"/>
            </w:pPr>
            <w:r>
              <w:rPr>
                <w:b/>
                <w:sz w:val="17"/>
              </w:rPr>
              <w:t>Quality Lead role (site or central)</w:t>
            </w:r>
          </w:p>
        </w:tc>
        <w:tc>
          <w:tcPr>
            <w:tcW w:type="dxa" w:w="813"/>
            <w:shd w:val="clear" w:color="auto" w:fill="D9E2F3"/>
          </w:tcPr>
          <w:p>
            <w:pPr>
              <w:spacing w:after="0"/>
            </w:pPr>
            <w:r>
              <w:rPr>
                <w:b/>
                <w:sz w:val="17"/>
              </w:rPr>
              <w:t>Network effective date (F-901-02)</w:t>
            </w:r>
          </w:p>
        </w:tc>
        <w:tc>
          <w:tcPr>
            <w:tcW w:type="dxa" w:w="813"/>
            <w:shd w:val="clear" w:color="auto" w:fill="D9E2F3"/>
          </w:tcPr>
          <w:p>
            <w:pPr>
              <w:spacing w:after="0"/>
            </w:pPr>
            <w:r>
              <w:rPr>
                <w:b/>
                <w:sz w:val="17"/>
              </w:rPr>
              <w:t>Date joined / left</w:t>
            </w:r>
          </w:p>
        </w:tc>
      </w:tr>
      <w:tr>
        <w:trPr>
          <w:cantSplit w:val="true"/>
          <w:trHeight w:val="461"/>
        </w:trPr>
        <w:tc>
          <w:tcPr>
            <w:tcW w:type="dxa" w:w="1626"/>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r>
      <w:tr>
        <w:trPr>
          <w:cantSplit w:val="true"/>
          <w:trHeight w:val="461"/>
        </w:trPr>
        <w:tc>
          <w:tcPr>
            <w:tcW w:type="dxa" w:w="1626"/>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r>
      <w:tr>
        <w:trPr>
          <w:cantSplit w:val="true"/>
          <w:trHeight w:val="461"/>
        </w:trPr>
        <w:tc>
          <w:tcPr>
            <w:tcW w:type="dxa" w:w="1626"/>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r>
      <w:tr>
        <w:trPr>
          <w:cantSplit w:val="true"/>
          <w:trHeight w:val="461"/>
        </w:trPr>
        <w:tc>
          <w:tcPr>
            <w:tcW w:type="dxa" w:w="1626"/>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r>
      <w:tr>
        <w:trPr>
          <w:cantSplit w:val="true"/>
          <w:trHeight w:val="461"/>
        </w:trPr>
        <w:tc>
          <w:tcPr>
            <w:tcW w:type="dxa" w:w="1626"/>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r>
      <w:tr>
        <w:trPr>
          <w:cantSplit w:val="true"/>
          <w:trHeight w:val="461"/>
        </w:trPr>
        <w:tc>
          <w:tcPr>
            <w:tcW w:type="dxa" w:w="1626"/>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r>
      <w:tr>
        <w:trPr>
          <w:cantSplit w:val="true"/>
          <w:trHeight w:val="461"/>
        </w:trPr>
        <w:tc>
          <w:tcPr>
            <w:tcW w:type="dxa" w:w="1626"/>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r>
      <w:tr>
        <w:trPr>
          <w:cantSplit w:val="true"/>
          <w:trHeight w:val="461"/>
        </w:trPr>
        <w:tc>
          <w:tcPr>
            <w:tcW w:type="dxa" w:w="1626"/>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813"/>
          </w:tcPr>
          <w:p>
            <w:pPr>
              <w:spacing w:after="0"/>
            </w:pPr>
          </w:p>
        </w:tc>
        <w:tc>
          <w:tcPr>
            <w:tcW w:type="dxa" w:w="1626"/>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c>
          <w:tcPr>
            <w:tcW w:type="dxa" w:w="813"/>
          </w:tcPr>
          <w:p>
            <w:pPr>
              <w:spacing w:after="0"/>
            </w:pPr>
          </w:p>
        </w:tc>
      </w:tr>
    </w:tbl>
    <w:p>
      <w:pPr>
        <w:spacing w:after="40"/>
      </w:pPr>
    </w:p>
    <w:p>
      <w:pPr>
        <w:pStyle w:val="Heading2"/>
      </w:pPr>
      <w:r>
        <w:t>Part 3. HIPAA structure across sites (SOP-N6 5.3; confirmed by the Network Privacy Officer)</w:t>
      </w:r>
    </w:p>
    <w:tbl>
      <w:tblPr>
        <w:tblStyle w:val="TableGrid"/>
        <w:tblW w:type="auto" w:w="0"/>
        <w:jc w:val="left"/>
        <w:tblLayout w:type="fixed"/>
        <w:tblLook w:firstColumn="1" w:firstRow="1" w:lastColumn="0" w:lastRow="0" w:noHBand="0" w:noVBand="1" w:val="04A0"/>
      </w:tblPr>
      <w:tblGrid>
        <w:gridCol w:w="9792"/>
        <w:gridCol w:w="720"/>
        <w:gridCol w:w="720"/>
        <w:gridCol w:w="2592"/>
      </w:tblGrid>
      <w:tr>
        <w:trPr>
          <w:tblHeader w:val="true"/>
        </w:trPr>
        <w:tc>
          <w:tcPr>
            <w:tcW w:type="dxa" w:w="9792"/>
            <w:shd w:val="clear" w:color="auto" w:fill="D9E2F3"/>
          </w:tcPr>
          <w:p>
            <w:pPr>
              <w:spacing w:after="0"/>
            </w:pPr>
            <w:r>
              <w:rPr>
                <w:b/>
                <w:sz w:val="17"/>
              </w:rPr>
              <w:t>Item</w:t>
            </w:r>
          </w:p>
        </w:tc>
        <w:tc>
          <w:tcPr>
            <w:tcW w:type="dxa" w:w="720"/>
            <w:shd w:val="clear" w:color="auto" w:fill="D9E2F3"/>
          </w:tcPr>
          <w:p>
            <w:pPr>
              <w:spacing w:after="0"/>
            </w:pPr>
            <w:r>
              <w:rPr>
                <w:b/>
                <w:sz w:val="17"/>
              </w:rPr>
              <w:t>Yes</w:t>
            </w:r>
          </w:p>
        </w:tc>
        <w:tc>
          <w:tcPr>
            <w:tcW w:type="dxa" w:w="720"/>
            <w:shd w:val="clear" w:color="auto" w:fill="D9E2F3"/>
          </w:tcPr>
          <w:p>
            <w:pPr>
              <w:spacing w:after="0"/>
            </w:pPr>
            <w:r>
              <w:rPr>
                <w:b/>
                <w:sz w:val="17"/>
              </w:rPr>
              <w:t>No</w:t>
            </w:r>
          </w:p>
        </w:tc>
        <w:tc>
          <w:tcPr>
            <w:tcW w:type="dxa" w:w="2592"/>
            <w:shd w:val="clear" w:color="auto" w:fill="D9E2F3"/>
          </w:tcPr>
          <w:p>
            <w:pPr>
              <w:spacing w:after="0"/>
            </w:pPr>
            <w:r>
              <w:rPr>
                <w:b/>
                <w:sz w:val="17"/>
              </w:rPr>
              <w:t>Comment</w:t>
            </w:r>
          </w:p>
        </w:tc>
      </w:tr>
      <w:tr>
        <w:trPr>
          <w:cantSplit w:val="true"/>
          <w:trHeight w:val="403"/>
        </w:trPr>
        <w:tc>
          <w:tcPr>
            <w:tcW w:type="dxa" w:w="9792"/>
          </w:tcPr>
          <w:p>
            <w:pPr>
              <w:spacing w:after="0"/>
            </w:pPr>
            <w:r>
              <w:rPr>
                <w:b w:val="0"/>
                <w:sz w:val="17"/>
              </w:rPr>
              <w:t>Single covered entity (all member sites are the same legal entity)</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Affiliated covered entity designation (45 CFR 164.105(b)); members and date of designation</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entity is itself a covered entity and an ACE member</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entity is not an ACE member: BAA between the Network Office and the ACE signed (reference and date)</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Office staff recorded as workforce of an ACE member under SOP-N5 5.6.2 (names or roles)</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Organized health care arrangement relied on (joint health care operations only, never research)</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Separate covered entities with business associate or data use agreements</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One or more member sites not a covered entity (SOP-12)</w:t>
            </w:r>
          </w:p>
        </w:tc>
        <w:tc>
          <w:tcPr>
            <w:tcW w:type="dxa" w:w="720"/>
          </w:tcPr>
          <w:p>
            <w:pPr>
              <w:spacing w:after="0"/>
            </w:pPr>
          </w:p>
        </w:tc>
        <w:tc>
          <w:tcPr>
            <w:tcW w:type="dxa" w:w="720"/>
          </w:tcPr>
          <w:p>
            <w:pPr>
              <w:spacing w:after="0"/>
            </w:pPr>
          </w:p>
        </w:tc>
        <w:tc>
          <w:tcPr>
            <w:tcW w:type="dxa" w:w="2592"/>
          </w:tcPr>
          <w:p>
            <w:pPr>
              <w:spacing w:after="0"/>
            </w:pPr>
          </w:p>
        </w:tc>
      </w:tr>
    </w:tbl>
    <w:p>
      <w:pPr>
        <w:spacing w:after="4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Privacy Officer(s) confirming</w:t>
            </w:r>
          </w:p>
        </w:tc>
        <w:tc>
          <w:tcPr>
            <w:tcW w:type="dxa" w:w="2447"/>
          </w:tcPr>
          <w:p/>
        </w:tc>
        <w:tc>
          <w:tcPr>
            <w:tcW w:type="dxa" w:w="2160"/>
            <w:shd w:val="clear" w:color="auto" w:fill="D9E2F3"/>
          </w:tcPr>
          <w:p>
            <w:pPr>
              <w:spacing w:after="0"/>
            </w:pPr>
            <w:r>
              <w:rPr>
                <w:b/>
                <w:sz w:val="17"/>
              </w:rPr>
              <w:t>Date confirmed</w:t>
            </w:r>
          </w:p>
        </w:tc>
        <w:tc>
          <w:tcPr>
            <w:tcW w:type="dxa" w:w="2447"/>
          </w:tcPr>
          <w:p/>
        </w:tc>
        <w:tc>
          <w:tcPr>
            <w:tcW w:type="dxa" w:w="2160"/>
            <w:shd w:val="clear" w:color="auto" w:fill="D9E2F3"/>
          </w:tcPr>
          <w:p>
            <w:pPr>
              <w:spacing w:after="0"/>
            </w:pPr>
            <w:r>
              <w:rPr>
                <w:b/>
                <w:sz w:val="17"/>
              </w:rPr>
              <w:t>F-905-01 version</w:t>
            </w:r>
          </w:p>
        </w:tc>
        <w:tc>
          <w:tcPr>
            <w:tcW w:type="dxa" w:w="2447"/>
          </w:tcPr>
          <w:p/>
        </w:tc>
      </w:tr>
    </w:tbl>
    <w:p>
      <w:pPr>
        <w:spacing w:after="0"/>
      </w:pPr>
    </w:p>
    <w:p>
      <w:pPr>
        <w:pStyle w:val="Heading2"/>
      </w:pPr>
      <w:r>
        <w:t>Part 4. Row exceptions and other changes from the default (SOP-N1 5.2.2, 5.2.4)</w:t>
      </w:r>
    </w:p>
    <w:tbl>
      <w:tblPr>
        <w:tblStyle w:val="TableGrid"/>
        <w:tblW w:type="auto" w:w="0"/>
        <w:jc w:val="left"/>
        <w:tblLayout w:type="fixed"/>
        <w:tblLook w:firstColumn="1" w:firstRow="1" w:lastColumn="0" w:lastRow="0" w:noHBand="0" w:noVBand="1" w:val="04A0"/>
      </w:tblPr>
      <w:tblGrid>
        <w:gridCol w:w="1152"/>
        <w:gridCol w:w="2304"/>
        <w:gridCol w:w="1152"/>
        <w:gridCol w:w="2304"/>
        <w:gridCol w:w="2304"/>
        <w:gridCol w:w="2304"/>
        <w:gridCol w:w="2304"/>
      </w:tblGrid>
      <w:tr>
        <w:trPr>
          <w:tblHeader w:val="true"/>
        </w:trPr>
        <w:tc>
          <w:tcPr>
            <w:tcW w:type="dxa" w:w="1152"/>
            <w:shd w:val="clear" w:color="auto" w:fill="D9E2F3"/>
          </w:tcPr>
          <w:p>
            <w:pPr>
              <w:spacing w:after="0"/>
            </w:pPr>
            <w:r>
              <w:rPr>
                <w:b/>
                <w:sz w:val="17"/>
              </w:rPr>
              <w:t>Appendix B row ID</w:t>
            </w:r>
          </w:p>
        </w:tc>
        <w:tc>
          <w:tcPr>
            <w:tcW w:type="dxa" w:w="2304"/>
            <w:shd w:val="clear" w:color="auto" w:fill="D9E2F3"/>
          </w:tcPr>
          <w:p>
            <w:pPr>
              <w:spacing w:after="0"/>
            </w:pPr>
            <w:r>
              <w:rPr>
                <w:b/>
                <w:sz w:val="17"/>
              </w:rPr>
              <w:t>Member site</w:t>
            </w:r>
          </w:p>
        </w:tc>
        <w:tc>
          <w:tcPr>
            <w:tcW w:type="dxa" w:w="1152"/>
            <w:shd w:val="clear" w:color="auto" w:fill="D9E2F3"/>
          </w:tcPr>
          <w:p>
            <w:pPr>
              <w:spacing w:after="0"/>
            </w:pPr>
            <w:r>
              <w:rPr>
                <w:b/>
                <w:sz w:val="17"/>
              </w:rPr>
              <w:t>Column that applies</w:t>
            </w:r>
          </w:p>
        </w:tc>
        <w:tc>
          <w:tcPr>
            <w:tcW w:type="dxa" w:w="2304"/>
            <w:shd w:val="clear" w:color="auto" w:fill="D9E2F3"/>
          </w:tcPr>
          <w:p>
            <w:pPr>
              <w:spacing w:after="0"/>
            </w:pPr>
            <w:r>
              <w:rPr>
                <w:b/>
                <w:sz w:val="17"/>
              </w:rPr>
              <w:t>Adopted (C, S or C/S with the split)</w:t>
            </w:r>
          </w:p>
        </w:tc>
        <w:tc>
          <w:tcPr>
            <w:tcW w:type="dxa" w:w="2304"/>
            <w:shd w:val="clear" w:color="auto" w:fill="D9E2F3"/>
          </w:tcPr>
          <w:p>
            <w:pPr>
              <w:spacing w:after="0"/>
            </w:pPr>
            <w:r>
              <w:rPr>
                <w:b/>
                <w:sz w:val="17"/>
              </w:rPr>
              <w:t>Reason</w:t>
            </w:r>
          </w:p>
        </w:tc>
        <w:tc>
          <w:tcPr>
            <w:tcW w:type="dxa" w:w="2304"/>
            <w:shd w:val="clear" w:color="auto" w:fill="D9E2F3"/>
          </w:tcPr>
          <w:p>
            <w:pPr>
              <w:spacing w:after="0"/>
            </w:pPr>
            <w:r>
              <w:rPr>
                <w:b/>
                <w:sz w:val="17"/>
              </w:rPr>
              <w:t>Separate entity: counsel confirmation for this site and row (reference, date)</w:t>
            </w:r>
          </w:p>
        </w:tc>
        <w:tc>
          <w:tcPr>
            <w:tcW w:type="dxa" w:w="2304"/>
            <w:shd w:val="clear" w:color="auto" w:fill="D9E2F3"/>
          </w:tcPr>
          <w:p>
            <w:pPr>
              <w:spacing w:after="0"/>
            </w:pPr>
            <w:r>
              <w:rPr>
                <w:b/>
                <w:sz w:val="17"/>
              </w:rPr>
              <w:t>Staffing agreement and F-905-01 flow covering it</w:t>
            </w: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r>
    </w:tbl>
    <w:p>
      <w:pPr>
        <w:spacing w:after="40"/>
      </w:pPr>
    </w:p>
    <w:p>
      <w:pPr>
        <w:pStyle w:val="Heading2"/>
      </w:pPr>
      <w:r>
        <w:t>Part 5. Site decision boxes in network SOPs (SOP-N1 5.5.2)</w:t>
      </w:r>
    </w:p>
    <w:tbl>
      <w:tblPr>
        <w:tblStyle w:val="TableGrid"/>
        <w:tblW w:type="auto" w:w="0"/>
        <w:jc w:val="left"/>
        <w:tblLayout w:type="fixed"/>
        <w:tblLook w:firstColumn="1" w:firstRow="1" w:lastColumn="0" w:lastRow="0" w:noHBand="0" w:noVBand="1" w:val="04A0"/>
      </w:tblPr>
      <w:tblGrid>
        <w:gridCol w:w="1256"/>
        <w:gridCol w:w="3770"/>
        <w:gridCol w:w="2513"/>
        <w:gridCol w:w="3770"/>
        <w:gridCol w:w="2513"/>
      </w:tblGrid>
      <w:tr>
        <w:trPr>
          <w:tblHeader w:val="true"/>
        </w:trPr>
        <w:tc>
          <w:tcPr>
            <w:tcW w:type="dxa" w:w="1256"/>
            <w:shd w:val="clear" w:color="auto" w:fill="D9E2F3"/>
          </w:tcPr>
          <w:p>
            <w:pPr>
              <w:spacing w:after="0"/>
            </w:pPr>
            <w:r>
              <w:rPr>
                <w:b/>
                <w:sz w:val="17"/>
              </w:rPr>
              <w:t>SOP and section</w:t>
            </w:r>
          </w:p>
        </w:tc>
        <w:tc>
          <w:tcPr>
            <w:tcW w:type="dxa" w:w="3770"/>
            <w:shd w:val="clear" w:color="auto" w:fill="D9E2F3"/>
          </w:tcPr>
          <w:p>
            <w:pPr>
              <w:spacing w:after="0"/>
            </w:pPr>
            <w:r>
              <w:rPr>
                <w:b/>
                <w:sz w:val="17"/>
              </w:rPr>
              <w:t>Site decision</w:t>
            </w:r>
          </w:p>
        </w:tc>
        <w:tc>
          <w:tcPr>
            <w:tcW w:type="dxa" w:w="2513"/>
            <w:shd w:val="clear" w:color="auto" w:fill="D9E2F3"/>
          </w:tcPr>
          <w:p>
            <w:pPr>
              <w:spacing w:after="0"/>
            </w:pPr>
            <w:r>
              <w:rPr>
                <w:b/>
                <w:sz w:val="17"/>
              </w:rPr>
              <w:t>Resolved for the network or per site</w:t>
            </w:r>
          </w:p>
        </w:tc>
        <w:tc>
          <w:tcPr>
            <w:tcW w:type="dxa" w:w="3770"/>
            <w:shd w:val="clear" w:color="auto" w:fill="D9E2F3"/>
          </w:tcPr>
          <w:p>
            <w:pPr>
              <w:spacing w:after="0"/>
            </w:pPr>
            <w:r>
              <w:rPr>
                <w:b/>
                <w:sz w:val="17"/>
              </w:rPr>
              <w:t>Decision, or addendum number where per site</w:t>
            </w:r>
          </w:p>
        </w:tc>
        <w:tc>
          <w:tcPr>
            <w:tcW w:type="dxa" w:w="2513"/>
            <w:shd w:val="clear" w:color="auto" w:fill="D9E2F3"/>
          </w:tcPr>
          <w:p>
            <w:pPr>
              <w:spacing w:after="0"/>
            </w:pPr>
            <w:r>
              <w:rPr>
                <w:b/>
                <w:sz w:val="17"/>
              </w:rPr>
              <w:t>Recorded by and date</w:t>
            </w: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bl>
    <w:p>
      <w:pPr>
        <w:spacing w:after="40"/>
      </w:pPr>
    </w:p>
    <w:p>
      <w:pPr>
        <w:pStyle w:val="Heading2"/>
      </w:pPr>
      <w:r>
        <w:t>Part 5b. Network minimums (SOP-N1 5.5.2)</w:t>
      </w:r>
    </w:p>
    <w:tbl>
      <w:tblPr>
        <w:tblStyle w:val="TableGrid"/>
        <w:tblW w:type="auto" w:w="0"/>
        <w:jc w:val="left"/>
        <w:tblLayout w:type="fixed"/>
        <w:tblLook w:firstColumn="1" w:firstRow="1" w:lastColumn="0" w:lastRow="0" w:noHBand="0" w:noVBand="1" w:val="04A0"/>
      </w:tblPr>
      <w:tblGrid>
        <w:gridCol w:w="3072"/>
        <w:gridCol w:w="6144"/>
        <w:gridCol w:w="1536"/>
        <w:gridCol w:w="3072"/>
      </w:tblGrid>
      <w:tr>
        <w:trPr>
          <w:tblHeader w:val="true"/>
        </w:trPr>
        <w:tc>
          <w:tcPr>
            <w:tcW w:type="dxa" w:w="3072"/>
            <w:shd w:val="clear" w:color="auto" w:fill="D9E2F3"/>
          </w:tcPr>
          <w:p>
            <w:pPr>
              <w:spacing w:after="0"/>
            </w:pPr>
            <w:r>
              <w:rPr>
                <w:b/>
                <w:sz w:val="17"/>
              </w:rPr>
              <w:t>SOP and step</w:t>
            </w:r>
          </w:p>
        </w:tc>
        <w:tc>
          <w:tcPr>
            <w:tcW w:type="dxa" w:w="6144"/>
            <w:shd w:val="clear" w:color="auto" w:fill="D9E2F3"/>
          </w:tcPr>
          <w:p>
            <w:pPr>
              <w:spacing w:after="0"/>
            </w:pPr>
            <w:r>
              <w:rPr>
                <w:b/>
                <w:sz w:val="17"/>
                <w:highlight w:val="green"/>
              </w:rPr>
              <w:t>[DEFAULT]</w:t>
            </w:r>
            <w:r>
              <w:rPr>
                <w:b/>
                <w:sz w:val="17"/>
              </w:rPr>
              <w:t xml:space="preserve"> value or requirement</w:t>
            </w:r>
          </w:p>
        </w:tc>
        <w:tc>
          <w:tcPr>
            <w:tcW w:type="dxa" w:w="1536"/>
            <w:shd w:val="clear" w:color="auto" w:fill="D9E2F3"/>
          </w:tcPr>
          <w:p>
            <w:pPr>
              <w:spacing w:after="0"/>
            </w:pPr>
            <w:r>
              <w:rPr>
                <w:b/>
                <w:sz w:val="17"/>
              </w:rPr>
              <w:t>Network minimum (Y/N)</w:t>
            </w:r>
          </w:p>
        </w:tc>
        <w:tc>
          <w:tcPr>
            <w:tcW w:type="dxa" w:w="3072"/>
            <w:shd w:val="clear" w:color="auto" w:fill="D9E2F3"/>
          </w:tcPr>
          <w:p>
            <w:pPr>
              <w:spacing w:after="0"/>
            </w:pPr>
            <w:r>
              <w:rPr>
                <w:b/>
                <w:sz w:val="17"/>
              </w:rPr>
              <w:t>Committee approval date</w:t>
            </w: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6144"/>
          </w:tcPr>
          <w:p>
            <w:pPr>
              <w:spacing w:after="0"/>
            </w:pPr>
          </w:p>
        </w:tc>
        <w:tc>
          <w:tcPr>
            <w:tcW w:type="dxa" w:w="1536"/>
          </w:tcPr>
          <w:p>
            <w:pPr>
              <w:spacing w:after="0"/>
            </w:pPr>
          </w:p>
        </w:tc>
        <w:tc>
          <w:tcPr>
            <w:tcW w:type="dxa" w:w="3072"/>
          </w:tcPr>
          <w:p>
            <w:pPr>
              <w:spacing w:after="0"/>
            </w:pPr>
          </w:p>
        </w:tc>
      </w:tr>
    </w:tbl>
    <w:p>
      <w:pPr>
        <w:spacing w:after="40"/>
      </w:pPr>
    </w:p>
    <w:p>
      <w:pPr>
        <w:pStyle w:val="Heading2"/>
      </w:pPr>
      <w:r>
        <w:t>Part 6. Local addenda in force</w:t>
      </w:r>
    </w:p>
    <w:tbl>
      <w:tblPr>
        <w:tblStyle w:val="TableGrid"/>
        <w:tblW w:type="auto" w:w="0"/>
        <w:jc w:val="left"/>
        <w:tblLayout w:type="fixed"/>
        <w:tblLook w:firstColumn="1" w:firstRow="1" w:lastColumn="0" w:lastRow="0" w:noHBand="0" w:noVBand="1" w:val="04A0"/>
      </w:tblPr>
      <w:tblGrid>
        <w:gridCol w:w="3072"/>
        <w:gridCol w:w="3072"/>
        <w:gridCol w:w="3072"/>
        <w:gridCol w:w="1536"/>
        <w:gridCol w:w="3072"/>
      </w:tblGrid>
      <w:tr>
        <w:trPr>
          <w:tblHeader w:val="true"/>
        </w:trPr>
        <w:tc>
          <w:tcPr>
            <w:tcW w:type="dxa" w:w="3072"/>
            <w:shd w:val="clear" w:color="auto" w:fill="D9E2F3"/>
          </w:tcPr>
          <w:p>
            <w:pPr>
              <w:spacing w:after="0"/>
            </w:pPr>
            <w:r>
              <w:rPr>
                <w:b/>
                <w:sz w:val="17"/>
              </w:rPr>
              <w:t>Member site</w:t>
            </w:r>
          </w:p>
        </w:tc>
        <w:tc>
          <w:tcPr>
            <w:tcW w:type="dxa" w:w="3072"/>
            <w:shd w:val="clear" w:color="auto" w:fill="D9E2F3"/>
          </w:tcPr>
          <w:p>
            <w:pPr>
              <w:spacing w:after="0"/>
            </w:pPr>
            <w:r>
              <w:rPr>
                <w:b/>
                <w:sz w:val="17"/>
              </w:rPr>
              <w:t>Addendum number and version</w:t>
            </w:r>
          </w:p>
        </w:tc>
        <w:tc>
          <w:tcPr>
            <w:tcW w:type="dxa" w:w="3072"/>
            <w:shd w:val="clear" w:color="auto" w:fill="D9E2F3"/>
          </w:tcPr>
          <w:p>
            <w:pPr>
              <w:spacing w:after="0"/>
            </w:pPr>
            <w:r>
              <w:rPr>
                <w:b/>
                <w:sz w:val="17"/>
              </w:rPr>
              <w:t>Network SOP and version amended</w:t>
            </w:r>
          </w:p>
        </w:tc>
        <w:tc>
          <w:tcPr>
            <w:tcW w:type="dxa" w:w="1536"/>
            <w:shd w:val="clear" w:color="auto" w:fill="D9E2F3"/>
          </w:tcPr>
          <w:p>
            <w:pPr>
              <w:spacing w:after="0"/>
            </w:pPr>
            <w:r>
              <w:rPr>
                <w:b/>
                <w:sz w:val="17"/>
              </w:rPr>
              <w:t>Effective date</w:t>
            </w:r>
          </w:p>
        </w:tc>
        <w:tc>
          <w:tcPr>
            <w:tcW w:type="dxa" w:w="3072"/>
            <w:shd w:val="clear" w:color="auto" w:fill="D9E2F3"/>
          </w:tcPr>
          <w:p>
            <w:pPr>
              <w:spacing w:after="0"/>
            </w:pPr>
            <w:r>
              <w:rPr>
                <w:b/>
                <w:sz w:val="17"/>
              </w:rPr>
              <w:t>Status (current, suspended, retired)</w:t>
            </w: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r>
        <w:trPr>
          <w:cantSplit w:val="true"/>
          <w:trHeight w:val="461"/>
        </w:trPr>
        <w:tc>
          <w:tcPr>
            <w:tcW w:type="dxa" w:w="3072"/>
          </w:tcPr>
          <w:p>
            <w:pPr>
              <w:spacing w:after="0"/>
            </w:pPr>
          </w:p>
        </w:tc>
        <w:tc>
          <w:tcPr>
            <w:tcW w:type="dxa" w:w="3072"/>
          </w:tcPr>
          <w:p>
            <w:pPr>
              <w:spacing w:after="0"/>
            </w:pPr>
          </w:p>
        </w:tc>
        <w:tc>
          <w:tcPr>
            <w:tcW w:type="dxa" w:w="3072"/>
          </w:tcPr>
          <w:p>
            <w:pPr>
              <w:spacing w:after="0"/>
            </w:pPr>
          </w:p>
        </w:tc>
        <w:tc>
          <w:tcPr>
            <w:tcW w:type="dxa" w:w="1536"/>
          </w:tcPr>
          <w:p>
            <w:pPr>
              <w:spacing w:after="0"/>
            </w:pPr>
          </w:p>
        </w:tc>
        <w:tc>
          <w:tcPr>
            <w:tcW w:type="dxa" w:w="3072"/>
          </w:tcPr>
          <w:p>
            <w:pPr>
              <w:spacing w:after="0"/>
            </w:pPr>
          </w:p>
        </w:tc>
      </w:tr>
    </w:tbl>
    <w:p>
      <w:pPr>
        <w:spacing w:after="40"/>
      </w:pPr>
    </w:p>
    <w:p>
      <w:pPr>
        <w:pStyle w:val="Heading2"/>
      </w:pPr>
      <w:r>
        <w:t>Part 7. Network agreement terms for one separate entity (SOP-N1 5.8.1)</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Separate member site entity</w:t>
            </w:r>
          </w:p>
        </w:tc>
        <w:tc>
          <w:tcPr>
            <w:tcW w:type="dxa" w:w="2447"/>
          </w:tcPr>
          <w:p/>
        </w:tc>
        <w:tc>
          <w:tcPr>
            <w:tcW w:type="dxa" w:w="2160"/>
            <w:shd w:val="clear" w:color="auto" w:fill="D9E2F3"/>
          </w:tcPr>
          <w:p>
            <w:pPr>
              <w:spacing w:after="0"/>
            </w:pPr>
            <w:r>
              <w:rPr>
                <w:b/>
                <w:sz w:val="17"/>
              </w:rPr>
              <w:t>Agreement title, parties and date</w:t>
            </w:r>
          </w:p>
        </w:tc>
        <w:tc>
          <w:tcPr>
            <w:tcW w:type="dxa" w:w="2447"/>
          </w:tcPr>
          <w:p/>
        </w:tc>
        <w:tc>
          <w:tcPr>
            <w:tcW w:type="dxa" w:w="2160"/>
            <w:shd w:val="clear" w:color="auto" w:fill="D9E2F3"/>
          </w:tcPr>
          <w:p>
            <w:pPr>
              <w:spacing w:after="0"/>
            </w:pPr>
            <w:r>
              <w:rPr>
                <w:b/>
                <w:sz w:val="17"/>
              </w:rPr>
              <w:t>Counsel review (name and date)</w:t>
            </w: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9792"/>
        <w:gridCol w:w="720"/>
        <w:gridCol w:w="720"/>
        <w:gridCol w:w="2592"/>
      </w:tblGrid>
      <w:tr>
        <w:trPr>
          <w:tblHeader w:val="true"/>
        </w:trPr>
        <w:tc>
          <w:tcPr>
            <w:tcW w:type="dxa" w:w="9792"/>
            <w:shd w:val="clear" w:color="auto" w:fill="D9E2F3"/>
          </w:tcPr>
          <w:p>
            <w:pPr>
              <w:spacing w:after="0"/>
            </w:pPr>
            <w:r>
              <w:rPr>
                <w:b/>
                <w:sz w:val="17"/>
              </w:rPr>
              <w:t>Item</w:t>
            </w:r>
          </w:p>
        </w:tc>
        <w:tc>
          <w:tcPr>
            <w:tcW w:type="dxa" w:w="720"/>
            <w:shd w:val="clear" w:color="auto" w:fill="D9E2F3"/>
          </w:tcPr>
          <w:p>
            <w:pPr>
              <w:spacing w:after="0"/>
            </w:pPr>
            <w:r>
              <w:rPr>
                <w:b/>
                <w:sz w:val="17"/>
              </w:rPr>
              <w:t>Clause</w:t>
            </w:r>
          </w:p>
        </w:tc>
        <w:tc>
          <w:tcPr>
            <w:tcW w:type="dxa" w:w="720"/>
            <w:shd w:val="clear" w:color="auto" w:fill="D9E2F3"/>
          </w:tcPr>
          <w:p>
            <w:pPr>
              <w:spacing w:after="0"/>
            </w:pPr>
            <w:r>
              <w:rPr>
                <w:b/>
                <w:sz w:val="17"/>
              </w:rPr>
              <w:t>Date checked</w:t>
            </w:r>
          </w:p>
        </w:tc>
        <w:tc>
          <w:tcPr>
            <w:tcW w:type="dxa" w:w="2592"/>
            <w:shd w:val="clear" w:color="auto" w:fill="D9E2F3"/>
          </w:tcPr>
          <w:p>
            <w:pPr>
              <w:spacing w:after="0"/>
            </w:pPr>
            <w:r>
              <w:rPr>
                <w:b/>
                <w:sz w:val="17"/>
              </w:rPr>
              <w:t>Comment</w:t>
            </w:r>
          </w:p>
        </w:tc>
      </w:tr>
      <w:tr>
        <w:trPr>
          <w:cantSplit w:val="true"/>
          <w:trHeight w:val="403"/>
        </w:trPr>
        <w:tc>
          <w:tcPr>
            <w:tcW w:type="dxa" w:w="9792"/>
          </w:tcPr>
          <w:p>
            <w:pPr>
              <w:spacing w:after="0"/>
            </w:pPr>
            <w:r>
              <w:rPr>
                <w:b w:val="0"/>
                <w:sz w:val="17"/>
              </w:rPr>
              <w:t>Network SOPs, minimums and Appendix B assignments that bind the entity; how changes become binding</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 xml:space="preserve">Conflict clause: legal and investigator duties prevail; written notice within </w:t>
            </w:r>
            <w:r>
              <w:rPr>
                <w:b w:val="0"/>
                <w:sz w:val="17"/>
                <w:highlight w:val="green"/>
              </w:rPr>
              <w:t>[DEFAULT: 10 business days]</w:t>
            </w:r>
            <w:r>
              <w:rPr>
                <w:b w:val="0"/>
                <w:sz w:val="17"/>
              </w:rPr>
              <w:t>; resolution by addendum, F-900-02 change or exit</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Direction of the entity's employees only as the agreement allows; staffing and services agreements (SOP-N5 5.6.2, 5.7.2)</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Audit and access rights (records, systems, staff) and duty to cooperate (SOP-N4 5.5.6)</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Metric set and data timelines; network-wide CAPA participation; tiers and consequences of Tier 3 and 4; confidentiality of scorecards and reports (SOP-N4)</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Data rights, HIPAA basis for each PHI flow, BAA where the Network Office handles the entity's PHI; record ownership, custody, access and return at exit (SOP-N6)</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Shared system terms backed by the vendor agreement (SOP-N6 5.2.2)</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Studies outside the network and notice to central intake (SOP-N3 5.2.1)</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CTA structure and signatory, including any written authority for the network entity to sign as the entity's agent (SOP-N3 5.5.2)</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Every payment between entities in writing, at FMV, with counsel review (SOP-N3 5.7.1 to 5.7.3)</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Network Office fee: listed services and FMV basis (SOP-N3 5.7.4)</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 xml:space="preserve">Payee, pass-through within </w:t>
            </w:r>
            <w:r>
              <w:rPr>
                <w:b w:val="0"/>
                <w:sz w:val="17"/>
                <w:highlight w:val="green"/>
              </w:rPr>
              <w:t>[DEFAULT: 30 calendar days]</w:t>
            </w:r>
            <w:r>
              <w:rPr>
                <w:b w:val="0"/>
                <w:sz w:val="17"/>
              </w:rPr>
              <w:t>, statements and record review (SOP-N3 5.8.2)</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Payer of participant payments (SOP-N3 5.7.7)</w:t>
            </w: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792"/>
          </w:tcPr>
          <w:p>
            <w:pPr>
              <w:spacing w:after="0"/>
            </w:pPr>
            <w:r>
              <w:rPr>
                <w:b w:val="0"/>
                <w:sz w:val="17"/>
              </w:rPr>
              <w:t>Insurance, indemnity, confidentiality, termination and exit steps (SOP-N2 5.9)</w:t>
            </w:r>
          </w:p>
        </w:tc>
        <w:tc>
          <w:tcPr>
            <w:tcW w:type="dxa" w:w="720"/>
          </w:tcPr>
          <w:p>
            <w:pPr>
              <w:spacing w:after="0"/>
            </w:pPr>
          </w:p>
        </w:tc>
        <w:tc>
          <w:tcPr>
            <w:tcW w:type="dxa" w:w="720"/>
          </w:tcPr>
          <w:p>
            <w:pPr>
              <w:spacing w:after="0"/>
            </w:pPr>
          </w:p>
        </w:tc>
        <w:tc>
          <w:tcPr>
            <w:tcW w:type="dxa" w:w="2592"/>
          </w:tcPr>
          <w:p>
            <w:pPr>
              <w:spacing w:after="0"/>
            </w:pPr>
          </w:p>
        </w:tc>
      </w:tr>
    </w:tbl>
    <w:p>
      <w:pPr>
        <w:spacing w:after="40"/>
      </w:pPr>
    </w:p>
    <w:p>
      <w:pPr>
        <w:pStyle w:val="Heading2"/>
      </w:pPr>
      <w:r>
        <w:t>Part 7a. Network Office fee (SOP-N3 5.7.4)</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Network Office fee basis (fixed, per service, per study, per visit or percentage)</w:t>
            </w:r>
          </w:p>
        </w:tc>
        <w:tc>
          <w:tcPr>
            <w:tcW w:type="dxa" w:w="2447"/>
          </w:tcPr>
          <w:p/>
        </w:tc>
        <w:tc>
          <w:tcPr>
            <w:tcW w:type="dxa" w:w="2160"/>
            <w:shd w:val="clear" w:color="auto" w:fill="D9E2F3"/>
          </w:tcPr>
          <w:p>
            <w:pPr>
              <w:spacing w:after="0"/>
            </w:pPr>
            <w:r>
              <w:rPr>
                <w:b/>
                <w:sz w:val="17"/>
              </w:rPr>
              <w:t>Counsel review reference and date (SOP-N3 5.7.3, before first use)</w:t>
            </w:r>
          </w:p>
        </w:tc>
        <w:tc>
          <w:tcPr>
            <w:tcW w:type="dxa" w:w="2447"/>
          </w:tcPr>
          <w:p/>
        </w:tc>
        <w:tc>
          <w:tcPr>
            <w:tcW w:type="dxa" w:w="2160"/>
            <w:shd w:val="clear" w:color="auto" w:fill="D9E2F3"/>
          </w:tcPr>
          <w:p>
            <w:pPr>
              <w:spacing w:after="0"/>
            </w:pPr>
            <w:r>
              <w:rPr>
                <w:b/>
                <w:sz w:val="17"/>
              </w:rPr>
              <w:t>Fair market value basis documented (reference)</w:t>
            </w:r>
          </w:p>
        </w:tc>
        <w:tc>
          <w:tcPr>
            <w:tcW w:type="dxa" w:w="2447"/>
          </w:tcPr>
          <w:p/>
        </w:tc>
      </w:tr>
    </w:tbl>
    <w:p>
      <w:pPr>
        <w:spacing w:after="0"/>
      </w:pPr>
    </w:p>
    <w:p>
      <w:pPr>
        <w:pStyle w:val="Heading2"/>
      </w:pPr>
      <w:r>
        <w:t>Part 8. Change history</w:t>
      </w:r>
    </w:p>
    <w:tbl>
      <w:tblPr>
        <w:tblStyle w:val="TableGrid"/>
        <w:tblW w:type="auto" w:w="0"/>
        <w:jc w:val="left"/>
        <w:tblLayout w:type="fixed"/>
        <w:tblLook w:firstColumn="1" w:firstRow="1" w:lastColumn="0" w:lastRow="0" w:noHBand="0" w:noVBand="1" w:val="04A0"/>
      </w:tblPr>
      <w:tblGrid>
        <w:gridCol w:w="1382"/>
        <w:gridCol w:w="4147"/>
        <w:gridCol w:w="4147"/>
        <w:gridCol w:w="2764"/>
        <w:gridCol w:w="1382"/>
      </w:tblGrid>
      <w:tr>
        <w:trPr>
          <w:tblHeader w:val="true"/>
        </w:trPr>
        <w:tc>
          <w:tcPr>
            <w:tcW w:type="dxa" w:w="1382"/>
            <w:shd w:val="clear" w:color="auto" w:fill="D9E2F3"/>
          </w:tcPr>
          <w:p>
            <w:pPr>
              <w:keepNext/>
              <w:spacing w:after="0"/>
            </w:pPr>
            <w:r>
              <w:rPr>
                <w:b/>
                <w:sz w:val="17"/>
              </w:rPr>
              <w:t>Date</w:t>
            </w:r>
          </w:p>
        </w:tc>
        <w:tc>
          <w:tcPr>
            <w:tcW w:type="dxa" w:w="4147"/>
            <w:shd w:val="clear" w:color="auto" w:fill="D9E2F3"/>
          </w:tcPr>
          <w:p>
            <w:pPr>
              <w:keepNext/>
              <w:spacing w:after="0"/>
            </w:pPr>
            <w:r>
              <w:rPr>
                <w:b/>
                <w:sz w:val="17"/>
              </w:rPr>
              <w:t>Trigger (site joined or left, entity type change, row exception, assignment change, annual review)</w:t>
            </w:r>
          </w:p>
        </w:tc>
        <w:tc>
          <w:tcPr>
            <w:tcW w:type="dxa" w:w="4147"/>
            <w:shd w:val="clear" w:color="auto" w:fill="D9E2F3"/>
          </w:tcPr>
          <w:p>
            <w:pPr>
              <w:keepNext/>
              <w:spacing w:after="0"/>
            </w:pPr>
            <w:r>
              <w:rPr>
                <w:b/>
                <w:sz w:val="17"/>
              </w:rPr>
              <w:t>Change made</w:t>
            </w:r>
          </w:p>
        </w:tc>
        <w:tc>
          <w:tcPr>
            <w:tcW w:type="dxa" w:w="2764"/>
            <w:shd w:val="clear" w:color="auto" w:fill="D9E2F3"/>
          </w:tcPr>
          <w:p>
            <w:pPr>
              <w:keepNext/>
              <w:spacing w:after="0"/>
            </w:pPr>
            <w:r>
              <w:rPr>
                <w:b/>
                <w:sz w:val="17"/>
              </w:rPr>
              <w:t>Approved by (Network Quality Lead with ratification date, or committee)</w:t>
            </w:r>
          </w:p>
        </w:tc>
        <w:tc>
          <w:tcPr>
            <w:tcW w:type="dxa" w:w="1382"/>
            <w:shd w:val="clear" w:color="auto" w:fill="D9E2F3"/>
          </w:tcPr>
          <w:p>
            <w:pPr>
              <w:keepNext/>
              <w:spacing w:after="0"/>
            </w:pPr>
            <w:r>
              <w:rPr>
                <w:b/>
                <w:sz w:val="17"/>
              </w:rPr>
              <w:t>Training assigned (date)</w:t>
            </w:r>
          </w:p>
        </w:tc>
      </w:tr>
      <w:tr>
        <w:trPr>
          <w:cantSplit w:val="true"/>
          <w:trHeight w:val="461"/>
        </w:trPr>
        <w:tc>
          <w:tcPr>
            <w:tcW w:type="dxa" w:w="1382"/>
          </w:tcPr>
          <w:p>
            <w:pPr>
              <w:keepNext/>
              <w:spacing w:after="0"/>
            </w:pPr>
          </w:p>
        </w:tc>
        <w:tc>
          <w:tcPr>
            <w:tcW w:type="dxa" w:w="4147"/>
          </w:tcPr>
          <w:p>
            <w:pPr>
              <w:keepNext/>
              <w:spacing w:after="0"/>
            </w:pPr>
          </w:p>
        </w:tc>
        <w:tc>
          <w:tcPr>
            <w:tcW w:type="dxa" w:w="4147"/>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4147"/>
          </w:tcPr>
          <w:p>
            <w:pPr>
              <w:keepNext/>
              <w:spacing w:after="0"/>
            </w:pPr>
          </w:p>
        </w:tc>
        <w:tc>
          <w:tcPr>
            <w:tcW w:type="dxa" w:w="4147"/>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4147"/>
          </w:tcPr>
          <w:p>
            <w:pPr>
              <w:keepNext/>
              <w:spacing w:after="0"/>
            </w:pPr>
          </w:p>
        </w:tc>
        <w:tc>
          <w:tcPr>
            <w:tcW w:type="dxa" w:w="4147"/>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4147"/>
          </w:tcPr>
          <w:p>
            <w:pPr>
              <w:keepNext/>
              <w:spacing w:after="0"/>
            </w:pPr>
          </w:p>
        </w:tc>
        <w:tc>
          <w:tcPr>
            <w:tcW w:type="dxa" w:w="4147"/>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4147"/>
          </w:tcPr>
          <w:p>
            <w:pPr>
              <w:keepNext/>
              <w:spacing w:after="0"/>
            </w:pPr>
          </w:p>
        </w:tc>
        <w:tc>
          <w:tcPr>
            <w:tcW w:type="dxa" w:w="4147"/>
          </w:tcPr>
          <w:p>
            <w:pPr>
              <w:keepNext/>
              <w:spacing w:after="0"/>
            </w:pPr>
          </w:p>
        </w:tc>
        <w:tc>
          <w:tcPr>
            <w:tcW w:type="dxa" w:w="2764"/>
          </w:tcPr>
          <w:p>
            <w:pPr>
              <w:keepNext/>
              <w:spacing w:after="0"/>
            </w:pPr>
          </w:p>
        </w:tc>
        <w:tc>
          <w:tcPr>
            <w:tcW w:type="dxa" w:w="1382"/>
          </w:tcPr>
          <w:p>
            <w:pPr>
              <w:keepNext/>
              <w:spacing w:after="0"/>
            </w:pPr>
          </w:p>
        </w:tc>
      </w:tr>
      <w:tr>
        <w:trPr>
          <w:cantSplit w:val="true"/>
          <w:trHeight w:val="461"/>
        </w:trPr>
        <w:tc>
          <w:tcPr>
            <w:tcW w:type="dxa" w:w="1382"/>
          </w:tcPr>
          <w:p>
            <w:pPr>
              <w:spacing w:after="0"/>
            </w:pPr>
          </w:p>
        </w:tc>
        <w:tc>
          <w:tcPr>
            <w:tcW w:type="dxa" w:w="4147"/>
          </w:tcPr>
          <w:p>
            <w:pPr>
              <w:spacing w:after="0"/>
            </w:pPr>
          </w:p>
        </w:tc>
        <w:tc>
          <w:tcPr>
            <w:tcW w:type="dxa" w:w="4147"/>
          </w:tcPr>
          <w:p>
            <w:pPr>
              <w:spacing w:after="0"/>
            </w:pPr>
          </w:p>
        </w:tc>
        <w:tc>
          <w:tcPr>
            <w:tcW w:type="dxa" w:w="2764"/>
          </w:tcPr>
          <w:p>
            <w:pPr>
              <w:spacing w:after="0"/>
            </w:pPr>
          </w:p>
        </w:tc>
        <w:tc>
          <w:tcPr>
            <w:tcW w:type="dxa" w:w="1382"/>
          </w:tcPr>
          <w:p>
            <w:pPr>
              <w:spacing w:after="0"/>
            </w:pPr>
          </w:p>
        </w:tc>
      </w:tr>
    </w:tbl>
    <w:p>
      <w:pPr>
        <w:spacing w:after="40"/>
      </w:pPr>
    </w:p>
    <w:p>
      <w:pPr>
        <w:pStyle w:val="Heading2"/>
      </w:pPr>
      <w:r>
        <w:t>Approval</w:t>
      </w: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Network Executive</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Network Quality Lead</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Network Quality Committee chair</w:t>
            </w:r>
          </w:p>
        </w:tc>
        <w:tc>
          <w:tcPr>
            <w:tcW w:type="dxa" w:w="3594"/>
          </w:tcPr>
          <w:p>
            <w:pPr>
              <w:spacing w:after="0"/>
            </w:pPr>
          </w:p>
        </w:tc>
        <w:tc>
          <w:tcPr>
            <w:tcW w:type="dxa" w:w="4147"/>
          </w:tcPr>
          <w:p>
            <w:pPr>
              <w:spacing w:after="0"/>
            </w:pPr>
          </w:p>
        </w:tc>
        <w:tc>
          <w:tcPr>
            <w:tcW w:type="dxa" w:w="2211"/>
          </w:tcPr>
          <w:p>
            <w:pPr>
              <w:spacing w:after="0"/>
            </w:pPr>
          </w:p>
        </w:tc>
      </w:tr>
    </w:tbl>
    <w:p>
      <w:pPr>
        <w:spacing w:after="40"/>
      </w:pPr>
    </w:p>
    <w:p>
      <w:pPr>
        <w:pStyle w:val="Heading2"/>
      </w:pPr>
      <w:r>
        <w:t>Member site acceptance of assignments</w:t>
      </w:r>
    </w:p>
    <w:tbl>
      <w:tblPr>
        <w:tblStyle w:val="TableGrid"/>
        <w:tblW w:type="auto" w:w="0"/>
        <w:jc w:val="left"/>
        <w:tblLayout w:type="fixed"/>
        <w:tblLook w:firstColumn="1" w:firstRow="1" w:lastColumn="0" w:lastRow="0" w:noHBand="0" w:noVBand="1" w:val="04A0"/>
      </w:tblPr>
      <w:tblGrid>
        <w:gridCol w:w="4147"/>
        <w:gridCol w:w="4147"/>
        <w:gridCol w:w="4147"/>
        <w:gridCol w:w="1382"/>
      </w:tblGrid>
      <w:tr>
        <w:trPr>
          <w:tblHeader w:val="true"/>
        </w:trPr>
        <w:tc>
          <w:tcPr>
            <w:tcW w:type="dxa" w:w="4147"/>
            <w:shd w:val="clear" w:color="auto" w:fill="D9E2F3"/>
          </w:tcPr>
          <w:p>
            <w:pPr>
              <w:spacing w:after="0"/>
            </w:pPr>
            <w:r>
              <w:rPr>
                <w:b/>
                <w:sz w:val="17"/>
              </w:rPr>
              <w:t>Member site</w:t>
            </w:r>
          </w:p>
        </w:tc>
        <w:tc>
          <w:tcPr>
            <w:tcW w:type="dxa" w:w="4147"/>
            <w:shd w:val="clear" w:color="auto" w:fill="D9E2F3"/>
          </w:tcPr>
          <w:p>
            <w:pPr>
              <w:spacing w:after="0"/>
            </w:pPr>
            <w:r>
              <w:rPr>
                <w:b/>
                <w:sz w:val="17"/>
              </w:rPr>
              <w:t>Site Director (print)</w:t>
            </w:r>
          </w:p>
        </w:tc>
        <w:tc>
          <w:tcPr>
            <w:tcW w:type="dxa" w:w="4147"/>
            <w:shd w:val="clear" w:color="auto" w:fill="D9E2F3"/>
          </w:tcPr>
          <w:p>
            <w:pPr>
              <w:spacing w:after="0"/>
            </w:pPr>
            <w:r>
              <w:rPr>
                <w:b/>
                <w:sz w:val="17"/>
              </w:rPr>
              <w:t>Signature</w:t>
            </w:r>
          </w:p>
        </w:tc>
        <w:tc>
          <w:tcPr>
            <w:tcW w:type="dxa" w:w="1382"/>
            <w:shd w:val="clear" w:color="auto" w:fill="D9E2F3"/>
          </w:tcPr>
          <w:p>
            <w:pPr>
              <w:spacing w:after="0"/>
            </w:pPr>
            <w:r>
              <w:rPr>
                <w:b/>
                <w:sz w:val="17"/>
              </w:rPr>
              <w:t>Date</w:t>
            </w:r>
          </w:p>
        </w:tc>
      </w:tr>
      <w:tr>
        <w:trPr>
          <w:cantSplit w:val="true"/>
          <w:trHeight w:val="461"/>
        </w:trPr>
        <w:tc>
          <w:tcPr>
            <w:tcW w:type="dxa" w:w="4147"/>
          </w:tcPr>
          <w:p>
            <w:pPr>
              <w:spacing w:after="0"/>
            </w:pPr>
          </w:p>
        </w:tc>
        <w:tc>
          <w:tcPr>
            <w:tcW w:type="dxa" w:w="4147"/>
          </w:tcPr>
          <w:p>
            <w:pPr>
              <w:spacing w:after="0"/>
            </w:pPr>
          </w:p>
        </w:tc>
        <w:tc>
          <w:tcPr>
            <w:tcW w:type="dxa" w:w="4147"/>
          </w:tcPr>
          <w:p>
            <w:pPr>
              <w:spacing w:after="0"/>
            </w:pPr>
          </w:p>
        </w:tc>
        <w:tc>
          <w:tcPr>
            <w:tcW w:type="dxa" w:w="1382"/>
          </w:tcPr>
          <w:p>
            <w:pPr>
              <w:spacing w:after="0"/>
            </w:pPr>
          </w:p>
        </w:tc>
      </w:tr>
      <w:tr>
        <w:trPr>
          <w:cantSplit w:val="true"/>
          <w:trHeight w:val="461"/>
        </w:trPr>
        <w:tc>
          <w:tcPr>
            <w:tcW w:type="dxa" w:w="4147"/>
          </w:tcPr>
          <w:p>
            <w:pPr>
              <w:spacing w:after="0"/>
            </w:pPr>
          </w:p>
        </w:tc>
        <w:tc>
          <w:tcPr>
            <w:tcW w:type="dxa" w:w="4147"/>
          </w:tcPr>
          <w:p>
            <w:pPr>
              <w:spacing w:after="0"/>
            </w:pPr>
          </w:p>
        </w:tc>
        <w:tc>
          <w:tcPr>
            <w:tcW w:type="dxa" w:w="4147"/>
          </w:tcPr>
          <w:p>
            <w:pPr>
              <w:spacing w:after="0"/>
            </w:pPr>
          </w:p>
        </w:tc>
        <w:tc>
          <w:tcPr>
            <w:tcW w:type="dxa" w:w="1382"/>
          </w:tcPr>
          <w:p>
            <w:pPr>
              <w:spacing w:after="0"/>
            </w:pPr>
          </w:p>
        </w:tc>
      </w:tr>
      <w:tr>
        <w:trPr>
          <w:cantSplit w:val="true"/>
          <w:trHeight w:val="461"/>
        </w:trPr>
        <w:tc>
          <w:tcPr>
            <w:tcW w:type="dxa" w:w="4147"/>
          </w:tcPr>
          <w:p>
            <w:pPr>
              <w:spacing w:after="0"/>
            </w:pPr>
          </w:p>
        </w:tc>
        <w:tc>
          <w:tcPr>
            <w:tcW w:type="dxa" w:w="4147"/>
          </w:tcPr>
          <w:p>
            <w:pPr>
              <w:spacing w:after="0"/>
            </w:pPr>
          </w:p>
        </w:tc>
        <w:tc>
          <w:tcPr>
            <w:tcW w:type="dxa" w:w="4147"/>
          </w:tcPr>
          <w:p>
            <w:pPr>
              <w:spacing w:after="0"/>
            </w:pPr>
          </w:p>
        </w:tc>
        <w:tc>
          <w:tcPr>
            <w:tcW w:type="dxa" w:w="1382"/>
          </w:tcPr>
          <w:p>
            <w:pPr>
              <w:spacing w:after="0"/>
            </w:pPr>
          </w:p>
        </w:tc>
      </w:tr>
      <w:tr>
        <w:trPr>
          <w:cantSplit w:val="true"/>
          <w:trHeight w:val="461"/>
        </w:trPr>
        <w:tc>
          <w:tcPr>
            <w:tcW w:type="dxa" w:w="4147"/>
          </w:tcPr>
          <w:p>
            <w:pPr>
              <w:spacing w:after="0"/>
            </w:pPr>
          </w:p>
        </w:tc>
        <w:tc>
          <w:tcPr>
            <w:tcW w:type="dxa" w:w="4147"/>
          </w:tcPr>
          <w:p>
            <w:pPr>
              <w:spacing w:after="0"/>
            </w:pPr>
          </w:p>
        </w:tc>
        <w:tc>
          <w:tcPr>
            <w:tcW w:type="dxa" w:w="4147"/>
          </w:tcPr>
          <w:p>
            <w:pPr>
              <w:spacing w:after="0"/>
            </w:pPr>
          </w:p>
        </w:tc>
        <w:tc>
          <w:tcPr>
            <w:tcW w:type="dxa" w:w="1382"/>
          </w:tcPr>
          <w:p>
            <w:pPr>
              <w:spacing w:after="0"/>
            </w:pPr>
          </w:p>
        </w:tc>
      </w:tr>
      <w:tr>
        <w:trPr>
          <w:cantSplit w:val="true"/>
          <w:trHeight w:val="461"/>
        </w:trPr>
        <w:tc>
          <w:tcPr>
            <w:tcW w:type="dxa" w:w="4147"/>
          </w:tcPr>
          <w:p>
            <w:pPr>
              <w:spacing w:after="0"/>
            </w:pPr>
          </w:p>
        </w:tc>
        <w:tc>
          <w:tcPr>
            <w:tcW w:type="dxa" w:w="4147"/>
          </w:tcPr>
          <w:p>
            <w:pPr>
              <w:spacing w:after="0"/>
            </w:pPr>
          </w:p>
        </w:tc>
        <w:tc>
          <w:tcPr>
            <w:tcW w:type="dxa" w:w="4147"/>
          </w:tcPr>
          <w:p>
            <w:pPr>
              <w:spacing w:after="0"/>
            </w:pPr>
          </w:p>
        </w:tc>
        <w:tc>
          <w:tcPr>
            <w:tcW w:type="dxa" w:w="1382"/>
          </w:tcPr>
          <w:p>
            <w:pPr>
              <w:spacing w:after="0"/>
            </w:pPr>
          </w:p>
        </w:tc>
      </w:tr>
      <w:tr>
        <w:trPr>
          <w:cantSplit w:val="true"/>
          <w:trHeight w:val="461"/>
        </w:trPr>
        <w:tc>
          <w:tcPr>
            <w:tcW w:type="dxa" w:w="4147"/>
          </w:tcPr>
          <w:p>
            <w:pPr>
              <w:spacing w:after="0"/>
            </w:pPr>
          </w:p>
        </w:tc>
        <w:tc>
          <w:tcPr>
            <w:tcW w:type="dxa" w:w="4147"/>
          </w:tcPr>
          <w:p>
            <w:pPr>
              <w:spacing w:after="0"/>
            </w:pPr>
          </w:p>
        </w:tc>
        <w:tc>
          <w:tcPr>
            <w:tcW w:type="dxa" w:w="4147"/>
          </w:tcPr>
          <w:p>
            <w:pPr>
              <w:spacing w:after="0"/>
            </w:pPr>
          </w:p>
        </w:tc>
        <w:tc>
          <w:tcPr>
            <w:tcW w:type="dxa" w:w="1382"/>
          </w:tcPr>
          <w:p>
            <w:pPr>
              <w:spacing w:after="0"/>
            </w:pPr>
          </w:p>
        </w:tc>
      </w:tr>
      <w:tr>
        <w:trPr>
          <w:cantSplit w:val="true"/>
          <w:trHeight w:val="461"/>
        </w:trPr>
        <w:tc>
          <w:tcPr>
            <w:tcW w:type="dxa" w:w="4147"/>
          </w:tcPr>
          <w:p>
            <w:pPr>
              <w:spacing w:after="0"/>
            </w:pPr>
          </w:p>
        </w:tc>
        <w:tc>
          <w:tcPr>
            <w:tcW w:type="dxa" w:w="4147"/>
          </w:tcPr>
          <w:p>
            <w:pPr>
              <w:spacing w:after="0"/>
            </w:pPr>
          </w:p>
        </w:tc>
        <w:tc>
          <w:tcPr>
            <w:tcW w:type="dxa" w:w="4147"/>
          </w:tcPr>
          <w:p>
            <w:pPr>
              <w:spacing w:after="0"/>
            </w:pPr>
          </w:p>
        </w:tc>
        <w:tc>
          <w:tcPr>
            <w:tcW w:type="dxa" w:w="1382"/>
          </w:tcPr>
          <w:p>
            <w:pPr>
              <w:spacing w:after="0"/>
            </w:pPr>
          </w:p>
        </w:tc>
      </w:tr>
      <w:tr>
        <w:trPr>
          <w:cantSplit w:val="true"/>
          <w:trHeight w:val="461"/>
        </w:trPr>
        <w:tc>
          <w:tcPr>
            <w:tcW w:type="dxa" w:w="4147"/>
          </w:tcPr>
          <w:p>
            <w:pPr>
              <w:spacing w:after="0"/>
            </w:pPr>
          </w:p>
        </w:tc>
        <w:tc>
          <w:tcPr>
            <w:tcW w:type="dxa" w:w="4147"/>
          </w:tcPr>
          <w:p>
            <w:pPr>
              <w:spacing w:after="0"/>
            </w:pPr>
          </w:p>
        </w:tc>
        <w:tc>
          <w:tcPr>
            <w:tcW w:type="dxa" w:w="4147"/>
          </w:tcPr>
          <w:p>
            <w:pPr>
              <w:spacing w:after="0"/>
            </w:pPr>
          </w:p>
        </w:tc>
        <w:tc>
          <w:tcPr>
            <w:tcW w:type="dxa" w:w="1382"/>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F-900-02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F-900-02 Network Operating Model and Appendix B Adoption Record</w:t>
          </w:r>
        </w:p>
      </w:tc>
      <w:tc>
        <w:tcPr>
          <w:tcW w:type="dxa" w:w="4147"/>
        </w:tcPr>
        <w:p>
          <w:pPr>
            <w:jc w:val="right"/>
          </w:pPr>
          <w:r>
            <w:rPr>
              <w:b w:val="0"/>
              <w:color w:val="404040"/>
              <w:sz w:val="17"/>
            </w:rPr>
            <w:t>Ref: SOP-N1</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F-900-02 Network Operating Model and Appendix B Adoption Record</dc:title>
  <dc:subject>Form</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