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SOP-M5</w:t>
      </w:r>
    </w:p>
    <w:p>
      <w:pPr>
        <w:pStyle w:val="Title"/>
        <w:pBdr>
          <w:bottom w:val="single" w:sz="12" w:space="1" w:color="1F3864"/>
        </w:pBdr>
        <w:spacing w:after="120"/>
      </w:pPr>
      <w:r>
        <w:rPr>
          <w:b w:val="0"/>
          <w:color w:val="1F3864"/>
          <w:sz w:val="36"/>
        </w:rPr>
        <w:t>Research Integrity and Misconduct Reporting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Module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module describes how </w:t>
      </w:r>
      <w:r>
        <w:rPr>
          <w:b w:val="0"/>
          <w:highlight w:val="yellow"/>
        </w:rPr>
        <w:t>[SITE NAME]</w:t>
      </w:r>
      <w:r>
        <w:rPr>
          <w:b w:val="0"/>
        </w:rPr>
        <w:t xml:space="preserve"> receives, assesses and investigates possible research misconduct and fraud, protects people who report concerns, and notifies sponsors, IRBs and FDA.</w:t>
      </w:r>
    </w:p>
    <w:p>
      <w:pPr>
        <w:pStyle w:val="Heading1"/>
      </w:pPr>
      <w:r>
        <w:t>2. Scope</w:t>
      </w:r>
    </w:p>
    <w:p>
      <w:pPr/>
      <w:r>
        <w:rPr>
          <w:b w:val="0"/>
        </w:rPr>
        <w:t xml:space="preserve">Adopt this module only if </w:t>
      </w:r>
      <w:r>
        <w:rPr>
          <w:b w:val="0"/>
          <w:highlight w:val="yellow"/>
        </w:rPr>
        <w:t>[SITE NAME]</w:t>
      </w:r>
      <w:r>
        <w:rPr>
          <w:b w:val="0"/>
        </w:rPr>
        <w:t xml:space="preserve"> runs its own reporting route and investigation for suspected research misconduct or fraud. A site that does not adopt it records integrity concerns as deviations under SOP-08 and reports them to the sponsor and IRB, and staff keep the direct reporting routes in 5.2.2.</w:t>
      </w:r>
    </w:p>
    <w:p>
      <w:pPr/>
      <w:r>
        <w:rPr>
          <w:b w:val="0"/>
        </w:rPr>
        <w:t>It covers fabrication, falsification and plagiarism in research records and data, and research-related fraud (for example billing for visits that did not occur, fictitious participants, misuse of participant payments). Honest error and differences of opinion are deviations or quality matters under SOP-08. Debarment, disqualification and exclusion screening is in SOP-01 (staff and investigators) and SOP-M1 (provider companies). Privacy incidents are in SOP-12 unless they also involve data integrity. Follow the sponsor, IRB, CTA or law where it is stricter than this module.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All Research Staff</w:t>
            </w:r>
          </w:p>
        </w:tc>
        <w:tc>
          <w:tcPr>
            <w:tcW w:type="dxa" w:w="6946"/>
          </w:tcPr>
          <w:p>
            <w:pPr>
              <w:keepNext/>
              <w:spacing w:after="0"/>
            </w:pPr>
            <w:r>
              <w:rPr>
                <w:b w:val="0"/>
                <w:sz w:val="19"/>
              </w:rPr>
              <w:t xml:space="preserve">Report suspected misconduct or fraud within </w:t>
            </w:r>
            <w:r>
              <w:rPr>
                <w:b w:val="0"/>
                <w:sz w:val="19"/>
                <w:highlight w:val="green"/>
              </w:rPr>
              <w:t>[DEFAULT: 1 business day]</w:t>
            </w:r>
            <w:r>
              <w:rPr>
                <w:b w:val="0"/>
                <w:sz w:val="19"/>
              </w:rPr>
              <w:t>. Cooperate with assessments. Keep the matter confidential. Never retaliate.</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Receives reports, makes the initial assessment with the Site Director, secures evidence, leads the investigation unless conflicted, and keeps F-704-01.</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 xml:space="preserve">Co-leads the assessment and investigation, decides interim measures, engages </w:t>
            </w:r>
            <w:r>
              <w:rPr>
                <w:b w:val="0"/>
                <w:sz w:val="19"/>
                <w:highlight w:val="yellow"/>
              </w:rPr>
              <w:t>[LEGAL COUNSEL]</w:t>
            </w:r>
            <w:r>
              <w:rPr>
                <w:b w:val="0"/>
                <w:sz w:val="19"/>
              </w:rPr>
              <w:t>, approves outside notifications and enforces non-retaliation.</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Protects participant safety and notifies the sponsor and IRB, unless the PI is implicated.</w:t>
            </w:r>
          </w:p>
        </w:tc>
      </w:tr>
      <w:tr>
        <w:trPr>
          <w:cantSplit w:val="true"/>
        </w:trPr>
        <w:tc>
          <w:tcPr>
            <w:tcW w:type="dxa" w:w="2701"/>
          </w:tcPr>
          <w:p>
            <w:pPr>
              <w:keepNext/>
              <w:spacing w:after="0"/>
            </w:pPr>
            <w:r>
              <w:rPr>
                <w:b w:val="0"/>
                <w:sz w:val="19"/>
              </w:rPr>
              <w:t>Independent reviewer (named under SOP-02)</w:t>
            </w:r>
          </w:p>
        </w:tc>
        <w:tc>
          <w:tcPr>
            <w:tcW w:type="dxa" w:w="6946"/>
          </w:tcPr>
          <w:p>
            <w:pPr>
              <w:keepNext/>
              <w:spacing w:after="0"/>
            </w:pPr>
            <w:r>
              <w:rPr>
                <w:b w:val="0"/>
                <w:sz w:val="19"/>
              </w:rPr>
              <w:t>Receives any concern that involves the owner, Site Director, PI or Quality Lead, receives the anonymous route directly, appoints an independent investigator, and takes the FDA-reporting decision when the Site Director is implicated.</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Sends notifications as directed and files correspondence with F-704-01.</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Research misconduct</w:t>
            </w:r>
          </w:p>
        </w:tc>
        <w:tc>
          <w:tcPr>
            <w:tcW w:type="dxa" w:w="6946"/>
          </w:tcPr>
          <w:p>
            <w:pPr>
              <w:keepNext/>
              <w:spacing w:after="0"/>
            </w:pPr>
            <w:r>
              <w:rPr>
                <w:b w:val="0"/>
                <w:sz w:val="19"/>
              </w:rPr>
              <w:t>Fabrication, falsification or plagiarism in proposing, performing or reviewing research, or in reporting results. It does not include honest error or differences of opinion (based on 42 CFR 93).</w:t>
            </w:r>
          </w:p>
        </w:tc>
      </w:tr>
      <w:tr>
        <w:trPr>
          <w:cantSplit w:val="true"/>
        </w:trPr>
        <w:tc>
          <w:tcPr>
            <w:tcW w:type="dxa" w:w="2701"/>
          </w:tcPr>
          <w:p>
            <w:pPr>
              <w:keepNext/>
              <w:spacing w:after="0"/>
            </w:pPr>
            <w:r>
              <w:rPr>
                <w:b w:val="0"/>
                <w:sz w:val="19"/>
              </w:rPr>
              <w:t>Fabrication</w:t>
            </w:r>
          </w:p>
        </w:tc>
        <w:tc>
          <w:tcPr>
            <w:tcW w:type="dxa" w:w="6946"/>
          </w:tcPr>
          <w:p>
            <w:pPr>
              <w:keepNext/>
              <w:spacing w:after="0"/>
            </w:pPr>
            <w:r>
              <w:rPr>
                <w:b w:val="0"/>
                <w:sz w:val="19"/>
              </w:rPr>
              <w:t>Making up data or results and recording or reporting them.</w:t>
            </w:r>
          </w:p>
        </w:tc>
      </w:tr>
      <w:tr>
        <w:trPr>
          <w:cantSplit w:val="true"/>
        </w:trPr>
        <w:tc>
          <w:tcPr>
            <w:tcW w:type="dxa" w:w="2701"/>
          </w:tcPr>
          <w:p>
            <w:pPr>
              <w:keepNext/>
              <w:spacing w:after="0"/>
            </w:pPr>
            <w:r>
              <w:rPr>
                <w:b w:val="0"/>
                <w:sz w:val="19"/>
              </w:rPr>
              <w:t>Falsification</w:t>
            </w:r>
          </w:p>
        </w:tc>
        <w:tc>
          <w:tcPr>
            <w:tcW w:type="dxa" w:w="6946"/>
          </w:tcPr>
          <w:p>
            <w:pPr>
              <w:keepNext/>
              <w:spacing w:after="0"/>
            </w:pPr>
            <w:r>
              <w:rPr>
                <w:b w:val="0"/>
                <w:sz w:val="19"/>
              </w:rPr>
              <w:t>Manipulating research materials, equipment or processes, or changing or omitting data or results, so that the research record is not accurate.</w:t>
            </w:r>
          </w:p>
        </w:tc>
      </w:tr>
      <w:tr>
        <w:trPr>
          <w:cantSplit w:val="true"/>
        </w:trPr>
        <w:tc>
          <w:tcPr>
            <w:tcW w:type="dxa" w:w="2701"/>
          </w:tcPr>
          <w:p>
            <w:pPr>
              <w:keepNext/>
              <w:spacing w:after="0"/>
            </w:pPr>
            <w:r>
              <w:rPr>
                <w:b w:val="0"/>
                <w:sz w:val="19"/>
              </w:rPr>
              <w:t>Fraud</w:t>
            </w:r>
          </w:p>
        </w:tc>
        <w:tc>
          <w:tcPr>
            <w:tcW w:type="dxa" w:w="6946"/>
          </w:tcPr>
          <w:p>
            <w:pPr>
              <w:keepNext/>
              <w:spacing w:after="0"/>
            </w:pPr>
            <w:r>
              <w:rPr>
                <w:b w:val="0"/>
                <w:sz w:val="19"/>
              </w:rPr>
              <w:t>Intentional deception for gain, including false claims for payment and false statements to a sponsor, IRB or government agency.</w:t>
            </w:r>
          </w:p>
        </w:tc>
      </w:tr>
      <w:tr>
        <w:trPr>
          <w:cantSplit w:val="true"/>
        </w:trPr>
        <w:tc>
          <w:tcPr>
            <w:tcW w:type="dxa" w:w="2701"/>
          </w:tcPr>
          <w:p>
            <w:pPr>
              <w:keepNext/>
              <w:spacing w:after="0"/>
            </w:pPr>
            <w:r>
              <w:rPr>
                <w:b w:val="0"/>
                <w:sz w:val="19"/>
              </w:rPr>
              <w:t>Integrity concern</w:t>
            </w:r>
          </w:p>
        </w:tc>
        <w:tc>
          <w:tcPr>
            <w:tcW w:type="dxa" w:w="6946"/>
          </w:tcPr>
          <w:p>
            <w:pPr>
              <w:keepNext/>
              <w:spacing w:after="0"/>
            </w:pPr>
            <w:r>
              <w:rPr>
                <w:b w:val="0"/>
                <w:sz w:val="19"/>
              </w:rPr>
              <w:t>Any report or observation suggesting possible misconduct or fraud, recorded on F-704-01 Integrity Concern Report.</w:t>
            </w:r>
          </w:p>
        </w:tc>
      </w:tr>
      <w:tr>
        <w:trPr>
          <w:cantSplit w:val="true"/>
        </w:trPr>
        <w:tc>
          <w:tcPr>
            <w:tcW w:type="dxa" w:w="2701"/>
          </w:tcPr>
          <w:p>
            <w:pPr>
              <w:spacing w:after="0"/>
            </w:pPr>
            <w:r>
              <w:rPr>
                <w:b w:val="0"/>
                <w:sz w:val="19"/>
              </w:rPr>
              <w:t>Retaliation</w:t>
            </w:r>
          </w:p>
        </w:tc>
        <w:tc>
          <w:tcPr>
            <w:tcW w:type="dxa" w:w="6946"/>
          </w:tcPr>
          <w:p>
            <w:pPr>
              <w:spacing w:after="0"/>
            </w:pPr>
            <w:r>
              <w:rPr>
                <w:b w:val="0"/>
                <w:sz w:val="19"/>
              </w:rPr>
              <w:t>Any adverse action against a person because they reported a concern in good faith or cooperated with an investigation.</w:t>
            </w:r>
          </w:p>
        </w:tc>
      </w:tr>
    </w:tbl>
    <w:p>
      <w:pPr>
        <w:spacing w:after="40"/>
      </w:pPr>
    </w:p>
    <w:p>
      <w:pPr>
        <w:pStyle w:val="Heading1"/>
      </w:pPr>
      <w:r>
        <w:t>5. Procedure</w:t>
      </w:r>
    </w:p>
    <w:p>
      <w:pPr>
        <w:pStyle w:val="Heading2"/>
      </w:pPr>
      <w:r>
        <w:t>5.1 Recognizing a concern</w:t>
      </w:r>
    </w:p>
    <w:p>
      <w:pPr>
        <w:tabs>
          <w:tab w:pos="648" w:val="left"/>
        </w:tabs>
        <w:ind w:left="648" w:hanging="648"/>
      </w:pPr>
      <w:r>
        <w:rPr>
          <w:b/>
        </w:rPr>
        <w:t>5.1.1</w:t>
        <w:tab/>
      </w:r>
      <w:r>
        <w:rPr>
          <w:b w:val="0"/>
        </w:rPr>
        <w:t>Staff report what they observe, not proof. Warning signs include:</w:t>
      </w:r>
    </w:p>
    <w:p>
      <w:pPr>
        <w:pStyle w:val="ListBullet"/>
        <w:spacing w:after="40"/>
        <w:ind w:left="1008" w:hanging="259"/>
      </w:pPr>
      <w:r>
        <w:rPr>
          <w:b w:val="0"/>
        </w:rPr>
        <w:t>implausible data: values too perfect or identical across visits or participants, diaries or ePRO completed in batches, data that do not fit the participant's history</w:t>
      </w:r>
    </w:p>
    <w:p>
      <w:pPr>
        <w:pStyle w:val="ListBullet"/>
        <w:spacing w:after="40"/>
        <w:ind w:left="1008" w:hanging="259"/>
      </w:pPr>
      <w:r>
        <w:rPr>
          <w:b w:val="0"/>
        </w:rPr>
        <w:t>phantom participants: nobody remembers seeing them, no record outside the study, invalid or shared contact details, visits recorded when the participant or staff member was elsewhere</w:t>
      </w:r>
    </w:p>
    <w:p>
      <w:pPr>
        <w:pStyle w:val="ListBullet"/>
        <w:spacing w:after="40"/>
        <w:ind w:left="1008" w:hanging="259"/>
      </w:pPr>
      <w:r>
        <w:rPr>
          <w:b w:val="0"/>
        </w:rPr>
        <w:t>duplicate or professional participants: enrolled in another study at the same time, inconsistent histories across screenings</w:t>
      </w:r>
    </w:p>
    <w:p>
      <w:pPr>
        <w:pStyle w:val="ListBullet"/>
        <w:spacing w:after="40"/>
        <w:ind w:left="1008" w:hanging="259"/>
      </w:pPr>
      <w:r>
        <w:rPr>
          <w:b w:val="0"/>
        </w:rPr>
        <w:t>altered or recreated records: source created after the fact and dated as contemporaneous, overwriting, signatures unlike the person's usual signature, EDC changes without source support</w:t>
      </w:r>
    </w:p>
    <w:p>
      <w:pPr>
        <w:pStyle w:val="ListBullet"/>
        <w:spacing w:after="40"/>
        <w:ind w:left="1008" w:hanging="259"/>
      </w:pPr>
      <w:r>
        <w:rPr>
          <w:b w:val="0"/>
        </w:rPr>
        <w:t>consent signatures dated before IRB approval of the form, or that appear copied</w:t>
      </w:r>
    </w:p>
    <w:p>
      <w:pPr>
        <w:pStyle w:val="ListBullet"/>
        <w:spacing w:after="40"/>
        <w:ind w:left="1008" w:hanging="259"/>
      </w:pPr>
      <w:r>
        <w:rPr>
          <w:b w:val="0"/>
        </w:rPr>
        <w:t>specimens that may come from another person, IP counts that do not reconcile, returned IP that looks untouched while dosing is reported</w:t>
      </w:r>
    </w:p>
    <w:p>
      <w:pPr>
        <w:pStyle w:val="ListBullet"/>
        <w:spacing w:after="40"/>
        <w:ind w:left="1008" w:hanging="259"/>
      </w:pPr>
      <w:r>
        <w:rPr>
          <w:b w:val="0"/>
        </w:rPr>
        <w:t>participant payments to people who did not attend, or invoices and claims for procedures not performed</w:t>
      </w:r>
    </w:p>
    <w:p>
      <w:pPr>
        <w:pStyle w:val="ListBullet"/>
        <w:spacing w:after="40"/>
        <w:ind w:left="1008" w:hanging="259"/>
      </w:pPr>
      <w:r>
        <w:rPr>
          <w:b w:val="0"/>
        </w:rPr>
        <w:t>any instruction to change data, backdate records or hide information from a monitor, auditor, IRB or FDA</w:t>
      </w:r>
    </w:p>
    <w:p>
      <w:pPr>
        <w:tabs>
          <w:tab w:pos="648" w:val="left"/>
        </w:tabs>
        <w:ind w:left="648" w:hanging="648"/>
      </w:pPr>
      <w:r>
        <w:rPr>
          <w:b/>
        </w:rPr>
        <w:t>5.1.2</w:t>
        <w:tab/>
      </w:r>
      <w:r>
        <w:rPr>
          <w:b w:val="0"/>
        </w:rPr>
        <w:t>QC reviewers who notice these signs report under 5.2 and do not discuss the concern with the person involved.</w:t>
      </w:r>
    </w:p>
    <w:p>
      <w:pPr>
        <w:pStyle w:val="Heading2"/>
      </w:pPr>
      <w:r>
        <w:t>5.2 Reporting routes</w:t>
      </w:r>
    </w:p>
    <w:p>
      <w:pPr>
        <w:tabs>
          <w:tab w:pos="648" w:val="left"/>
        </w:tabs>
        <w:ind w:left="648" w:hanging="648"/>
      </w:pPr>
      <w:r>
        <w:rPr>
          <w:b/>
        </w:rPr>
        <w:t>5.2.1</w:t>
        <w:tab/>
      </w:r>
      <w:r>
        <w:rPr>
          <w:b w:val="0"/>
        </w:rPr>
        <w:t xml:space="preserve">Staff report within </w:t>
      </w:r>
      <w:r>
        <w:rPr>
          <w:b w:val="0"/>
          <w:highlight w:val="green"/>
        </w:rPr>
        <w:t>[DEFAULT: 1 business day of becoming aware]</w:t>
      </w:r>
      <w:r>
        <w:rPr>
          <w:b w:val="0"/>
        </w:rPr>
        <w:t xml:space="preserve"> to any of:</w:t>
      </w:r>
    </w:p>
    <w:p>
      <w:pPr>
        <w:pStyle w:val="ListBullet"/>
        <w:spacing w:after="40"/>
        <w:ind w:left="1008" w:hanging="259"/>
      </w:pPr>
      <w:r>
        <w:rPr>
          <w:b w:val="0"/>
        </w:rPr>
        <w:t>the Quality Lead</w:t>
      </w:r>
    </w:p>
    <w:p>
      <w:pPr>
        <w:pStyle w:val="ListBullet"/>
        <w:spacing w:after="40"/>
        <w:ind w:left="1008" w:hanging="259"/>
      </w:pPr>
      <w:r>
        <w:rPr>
          <w:b w:val="0"/>
        </w:rPr>
        <w:t>the Site Director</w:t>
      </w:r>
    </w:p>
    <w:p>
      <w:pPr>
        <w:pStyle w:val="ListBullet"/>
        <w:spacing w:after="40"/>
        <w:ind w:left="1008" w:hanging="259"/>
      </w:pPr>
      <w:r>
        <w:rPr>
          <w:b w:val="0"/>
        </w:rPr>
        <w:t>the PI, if the PI is not involved</w:t>
      </w:r>
    </w:p>
    <w:p>
      <w:pPr>
        <w:pStyle w:val="ListBullet"/>
        <w:spacing w:after="40"/>
        <w:ind w:left="1008" w:hanging="259"/>
      </w:pPr>
      <w:r>
        <w:rPr>
          <w:b w:val="0"/>
        </w:rPr>
        <w:t>the independent reviewer named under SOP-02, for any concern involving the owner, Site Director, PI or Quality Lead</w:t>
      </w:r>
    </w:p>
    <w:p>
      <w:pPr>
        <w:pStyle w:val="ListBullet"/>
        <w:spacing w:after="40"/>
        <w:ind w:left="1008" w:hanging="259"/>
      </w:pPr>
      <w:r>
        <w:rPr>
          <w:b w:val="0"/>
        </w:rPr>
        <w:t>the anonymous route</w:t>
      </w:r>
    </w:p>
    <w:p>
      <w:pPr>
        <w:tabs>
          <w:tab w:pos="648" w:val="left"/>
        </w:tabs>
        <w:ind w:left="648" w:hanging="648"/>
      </w:pPr>
      <w:r>
        <w:rPr>
          <w:b/>
        </w:rPr>
        <w:t>5.2.2</w:t>
        <w:tab/>
      </w:r>
      <w:r>
        <w:rPr>
          <w:b w:val="0"/>
        </w:rPr>
        <w:t>Staff may also report directly to the IRB, the sponsor or FDA at any time, without reporting internally first. FDA lists contacts by product type on its page Reporting Complaints Related to FDA-Regulated Clinical Trials.</w:t>
      </w:r>
    </w:p>
    <w:p>
      <w:pPr>
        <w:tabs>
          <w:tab w:pos="648" w:val="left"/>
        </w:tabs>
        <w:ind w:left="648" w:hanging="648"/>
      </w:pPr>
      <w:r>
        <w:rPr>
          <w:b/>
        </w:rPr>
        <w:t>5.2.3</w:t>
        <w:tab/>
      </w:r>
      <w:r>
        <w:rPr>
          <w:b w:val="0"/>
        </w:rPr>
        <w:t>The person receiving a report records it on F-704-01 (date, reporter unless anonymous, description, studies, records and people involved) and passes it the same business day to the Quality Lead, or to the independent reviewer if the Quality Lead, Site Director, PI or owner is involved.</w:t>
      </w:r>
    </w:p>
    <w:p>
      <w:pPr>
        <w:tabs>
          <w:tab w:pos="648" w:val="left"/>
        </w:tabs>
        <w:ind w:left="648" w:hanging="648"/>
      </w:pPr>
      <w:r>
        <w:rPr>
          <w:b/>
        </w:rPr>
        <w:t>5.2.4</w:t>
        <w:tab/>
      </w:r>
      <w:r>
        <w:rPr>
          <w:b w:val="0"/>
        </w:rPr>
        <w:t>Staff report an instruction to falsify or conceal even if they did not comply, and never carry out an instruction to create, alter, backdate or destroy records.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Choose the anonymous route (for example a third-party hotline, a web form, or a locked box opened by the independent reviewer) and publish it to all staff. The route reaches the independent reviewer directly, not only management. Record here: </w:t>
            </w:r>
            <w:r>
              <w:rPr>
                <w:b w:val="0"/>
                <w:sz w:val="20"/>
                <w:highlight w:val="yellow"/>
              </w:rPr>
              <w:t>[ANONYMOUS REPORTING CHANNEL]</w:t>
            </w:r>
            <w:r>
              <w:rPr>
                <w:b w:val="0"/>
                <w:sz w:val="20"/>
              </w:rPr>
              <w:t>.</w:t>
            </w:r>
          </w:p>
        </w:tc>
      </w:tr>
    </w:tbl>
    <w:p>
      <w:pPr>
        <w:spacing w:after="0"/>
      </w:pPr>
    </w:p>
    <w:p>
      <w:pPr>
        <w:pStyle w:val="Heading2"/>
      </w:pPr>
      <w:r>
        <w:t>5.3 Non-retaliation and confidentiality</w:t>
      </w:r>
    </w:p>
    <w:p>
      <w:pPr>
        <w:tabs>
          <w:tab w:pos="648" w:val="left"/>
        </w:tabs>
        <w:ind w:left="648" w:hanging="648"/>
      </w:pPr>
      <w:r>
        <w:rPr>
          <w:b/>
        </w:rPr>
        <w:t>5.3.1</w:t>
        <w:tab/>
      </w:r>
      <w:r>
        <w:rPr>
          <w:b w:val="0"/>
          <w:highlight w:val="yellow"/>
        </w:rPr>
        <w:t>[SITE NAME]</w:t>
      </w:r>
      <w:r>
        <w:rPr>
          <w:b w:val="0"/>
        </w:rPr>
        <w:t xml:space="preserve"> does not retaliate against anyone who reports in good faith or cooperates, even if the concern is not confirmed. Retaliation is itself handled as an integrity concern.</w:t>
      </w:r>
    </w:p>
    <w:p>
      <w:pPr>
        <w:tabs>
          <w:tab w:pos="648" w:val="left"/>
        </w:tabs>
        <w:ind w:left="648" w:hanging="648"/>
      </w:pPr>
      <w:r>
        <w:rPr>
          <w:b/>
        </w:rPr>
        <w:t>5.3.2</w:t>
        <w:tab/>
      </w:r>
      <w:r>
        <w:rPr>
          <w:b w:val="0"/>
        </w:rPr>
        <w:t>The identity of the reporter and of the person concerned is shared only with those who need it to assess, investigate or report, or as law requires. Reports known to be false and made in bad faith are handled through HR.</w:t>
      </w:r>
    </w:p>
    <w:p>
      <w:pPr>
        <w:tabs>
          <w:tab w:pos="648" w:val="left"/>
        </w:tabs>
        <w:ind w:left="648" w:hanging="648"/>
      </w:pPr>
      <w:r>
        <w:rPr>
          <w:b/>
        </w:rPr>
        <w:t>5.3.3</w:t>
        <w:tab/>
      </w:r>
      <w:r>
        <w:rPr>
          <w:b w:val="0"/>
        </w:rPr>
        <w:t xml:space="preserve">At adoption, the Site Director confirms with </w:t>
      </w:r>
      <w:r>
        <w:rPr>
          <w:b w:val="0"/>
          <w:highlight w:val="yellow"/>
        </w:rPr>
        <w:t>[LEGAL COUNSEL]</w:t>
      </w:r>
      <w:r>
        <w:rPr>
          <w:b w:val="0"/>
        </w:rPr>
        <w:t xml:space="preserve"> that employment policies and any </w:t>
      </w:r>
      <w:r>
        <w:rPr>
          <w:b w:val="0"/>
          <w:highlight w:val="yellow"/>
        </w:rPr>
        <w:t>[STATE]</w:t>
      </w:r>
      <w:r>
        <w:rPr>
          <w:b w:val="0"/>
        </w:rPr>
        <w:t xml:space="preserve"> whistleblower law are consistent with this section.</w:t>
      </w:r>
    </w:p>
    <w:p>
      <w:pPr>
        <w:pStyle w:val="Heading2"/>
      </w:pPr>
      <w:r>
        <w:t>5.4 Initial assessment and evidence</w:t>
      </w:r>
    </w:p>
    <w:p>
      <w:pPr>
        <w:tabs>
          <w:tab w:pos="648" w:val="left"/>
        </w:tabs>
        <w:ind w:left="648" w:hanging="648"/>
      </w:pPr>
      <w:r>
        <w:rPr>
          <w:b/>
        </w:rPr>
        <w:t>5.4.1</w:t>
        <w:tab/>
      </w:r>
      <w:r>
        <w:rPr>
          <w:b w:val="0"/>
        </w:rPr>
        <w:t xml:space="preserve">Within </w:t>
      </w:r>
      <w:r>
        <w:rPr>
          <w:b w:val="0"/>
          <w:highlight w:val="green"/>
        </w:rPr>
        <w:t>[DEFAULT: 2 business days of receipt]</w:t>
      </w:r>
      <w:r>
        <w:rPr>
          <w:b w:val="0"/>
        </w:rPr>
        <w:t>, the Quality Lead and the Site Director (or the independent reviewer under 5.5.2):</w:t>
      </w:r>
    </w:p>
    <w:p>
      <w:pPr>
        <w:pStyle w:val="ListBullet"/>
        <w:spacing w:after="40"/>
        <w:ind w:left="1008" w:hanging="259"/>
      </w:pPr>
      <w:r>
        <w:rPr>
          <w:b w:val="0"/>
        </w:rPr>
        <w:t>decide whether the concern, if true, would be misconduct or fraud, or is a deviation or quality matter for SOP-08</w:t>
      </w:r>
    </w:p>
    <w:p>
      <w:pPr>
        <w:pStyle w:val="ListBullet"/>
        <w:spacing w:after="40"/>
        <w:ind w:left="1008" w:hanging="259"/>
      </w:pPr>
      <w:r>
        <w:rPr>
          <w:b w:val="0"/>
        </w:rPr>
        <w:t>identify immediate risks to participants and tell a non-implicated investigator to act on them</w:t>
      </w:r>
    </w:p>
    <w:p>
      <w:pPr>
        <w:pStyle w:val="ListBullet"/>
        <w:spacing w:after="40"/>
        <w:ind w:left="1008" w:hanging="259"/>
      </w:pPr>
      <w:r>
        <w:rPr>
          <w:b w:val="0"/>
        </w:rPr>
        <w:t>record the decision on F-704-01</w:t>
      </w:r>
    </w:p>
    <w:p>
      <w:pPr>
        <w:tabs>
          <w:tab w:pos="648" w:val="left"/>
        </w:tabs>
        <w:ind w:left="648" w:hanging="648"/>
      </w:pPr>
      <w:r>
        <w:rPr>
          <w:b/>
        </w:rPr>
        <w:t>5.4.2</w:t>
        <w:tab/>
      </w:r>
      <w:r>
        <w:rPr>
          <w:b w:val="0"/>
        </w:rPr>
        <w:t>If the concern may be misconduct or fraud, the Quality Lead secures evidence before the person involved is told, where possible: custody or certified copies of paper records, requests to system owners and sponsors to preserve EDC, eConsent, IRT and EHR audit trails, preservation of email and access logs, and restriction of the person's system access as the Site Director approves. Each item, date and custodian is recorded on F-704-01.</w:t>
      </w:r>
    </w:p>
    <w:p>
      <w:pPr>
        <w:tabs>
          <w:tab w:pos="648" w:val="left"/>
        </w:tabs>
        <w:ind w:left="648" w:hanging="648"/>
      </w:pPr>
      <w:r>
        <w:rPr>
          <w:b/>
        </w:rPr>
        <w:t>5.4.3</w:t>
        <w:tab/>
      </w:r>
      <w:r>
        <w:rPr>
          <w:b w:val="0"/>
        </w:rPr>
        <w:t>Original records are never altered or permanently removed from the study file. Certified copies are made when the study must continue.</w:t>
      </w:r>
    </w:p>
    <w:p>
      <w:pPr>
        <w:tabs>
          <w:tab w:pos="648" w:val="left"/>
        </w:tabs>
        <w:ind w:left="648" w:hanging="648"/>
      </w:pPr>
      <w:r>
        <w:rPr>
          <w:b/>
        </w:rPr>
        <w:t>5.4.4</w:t>
        <w:tab/>
      </w:r>
      <w:r>
        <w:rPr>
          <w:b w:val="0"/>
        </w:rPr>
        <w:t>The Site Director decides interim measures, for example removing the person from study tasks (delegation updated under SOP-02) or pausing enrollment with the PI's agreement.</w:t>
      </w:r>
    </w:p>
    <w:p>
      <w:pPr>
        <w:pStyle w:val="Heading2"/>
      </w:pPr>
      <w:r>
        <w:t>5.5 Investigation</w:t>
      </w:r>
    </w:p>
    <w:p>
      <w:pPr>
        <w:tabs>
          <w:tab w:pos="648" w:val="left"/>
        </w:tabs>
        <w:ind w:left="648" w:hanging="648"/>
      </w:pPr>
      <w:r>
        <w:rPr>
          <w:b/>
        </w:rPr>
        <w:t>5.5.1</w:t>
        <w:tab/>
      </w:r>
      <w:r>
        <w:rPr>
          <w:b w:val="0"/>
        </w:rPr>
        <w:t xml:space="preserve">The Quality Lead and Site Director investigate, with </w:t>
      </w:r>
      <w:r>
        <w:rPr>
          <w:b w:val="0"/>
          <w:highlight w:val="yellow"/>
        </w:rPr>
        <w:t>[LEGAL COUNSEL]</w:t>
      </w:r>
      <w:r>
        <w:rPr>
          <w:b w:val="0"/>
        </w:rPr>
        <w:t xml:space="preserve"> where the Site Director decides, within </w:t>
      </w:r>
      <w:r>
        <w:rPr>
          <w:b w:val="0"/>
          <w:highlight w:val="green"/>
        </w:rPr>
        <w:t>[DEFAULT: 60 calendar days of the initial assessment]</w:t>
      </w:r>
      <w:r>
        <w:rPr>
          <w:b w:val="0"/>
        </w:rPr>
        <w:t>. Any extension and its reason are recorded on F-704-01.</w:t>
      </w:r>
    </w:p>
    <w:p>
      <w:pPr>
        <w:tabs>
          <w:tab w:pos="648" w:val="left"/>
        </w:tabs>
        <w:ind w:left="648" w:hanging="648"/>
      </w:pPr>
      <w:r>
        <w:rPr>
          <w:b/>
        </w:rPr>
        <w:t>5.5.2</w:t>
        <w:tab/>
      </w:r>
      <w:r>
        <w:rPr>
          <w:b w:val="0"/>
        </w:rPr>
        <w:t>No one implicated, or with a close personal or financial relationship to someone implicated, takes part. If the owner, Site Director, PI or Quality Lead is implicated, the independent reviewer appoints an independent internal or external investigator and receives the findings.</w:t>
      </w:r>
    </w:p>
    <w:p>
      <w:pPr>
        <w:tabs>
          <w:tab w:pos="648" w:val="left"/>
        </w:tabs>
        <w:ind w:left="648" w:hanging="648"/>
      </w:pPr>
      <w:r>
        <w:rPr>
          <w:b/>
        </w:rPr>
        <w:t>5.5.3</w:t>
        <w:tab/>
      </w:r>
      <w:r>
        <w:rPr>
          <w:b w:val="0"/>
        </w:rPr>
        <w:t>The investigation may include comparison of source, EHR, CRF data, audit trails and appointment, billing, payment and access records; checks that participants exist and attended, including contact by a non-implicated staff member using EHR contact details; signature comparison; interviews, with the person involved given a chance to respond; and a check of the person's other studies. Interviews are documented, and interviewees may review their statements.</w:t>
      </w:r>
    </w:p>
    <w:p>
      <w:pPr>
        <w:tabs>
          <w:tab w:pos="648" w:val="left"/>
        </w:tabs>
        <w:ind w:left="648" w:hanging="648"/>
      </w:pPr>
      <w:r>
        <w:rPr>
          <w:b/>
        </w:rPr>
        <w:t>5.5.4</w:t>
        <w:tab/>
      </w:r>
      <w:r>
        <w:rPr>
          <w:b w:val="0"/>
        </w:rPr>
        <w:t>The investigators record findings, evidence, the person's response and the conclusion on F-704-01: not substantiated; substantiated as honest error or noncompliance (route to SOP-08); or substantiated as misconduct or fraud.</w:t>
      </w:r>
    </w:p>
    <w:p>
      <w:pPr>
        <w:tabs>
          <w:tab w:pos="648" w:val="left"/>
        </w:tabs>
        <w:ind w:left="648" w:hanging="648"/>
      </w:pPr>
      <w:r>
        <w:rPr>
          <w:b/>
        </w:rPr>
        <w:t>5.5.5</w:t>
        <w:tab/>
      </w:r>
      <w:r>
        <w:rPr>
          <w:b w:val="0"/>
        </w:rPr>
        <w:t xml:space="preserve">The Site Director decides personnel action with HR and </w:t>
      </w:r>
      <w:r>
        <w:rPr>
          <w:b w:val="0"/>
          <w:highlight w:val="yellow"/>
        </w:rPr>
        <w:t>[LEGAL COUNSEL]</w:t>
      </w:r>
      <w:r>
        <w:rPr>
          <w:b w:val="0"/>
        </w:rPr>
        <w:t>, and considers whether state law requires a report to a licensing board.</w:t>
      </w:r>
    </w:p>
    <w:p>
      <w:pPr>
        <w:pStyle w:val="Heading2"/>
      </w:pPr>
      <w:r>
        <w:t>5.6 Notifications</w:t>
      </w:r>
    </w:p>
    <w:p>
      <w:pPr>
        <w:tabs>
          <w:tab w:pos="648" w:val="left"/>
        </w:tabs>
        <w:ind w:left="648" w:hanging="648"/>
      </w:pPr>
      <w:r>
        <w:rPr>
          <w:b/>
        </w:rPr>
        <w:t>5.6.1</w:t>
        <w:tab/>
      </w:r>
      <w:r>
        <w:rPr>
          <w:b w:val="0"/>
        </w:rPr>
        <w:t xml:space="preserve">Sponsor: the PI (or the Site Director if the PI is implicated) notifies the sponsor of each affected study when a concern passes initial assessment as possible misconduct or fraud, within the CTA timeline or </w:t>
      </w:r>
      <w:r>
        <w:rPr>
          <w:b w:val="0"/>
          <w:highlight w:val="green"/>
        </w:rPr>
        <w:t>[DEFAULT: 5 business days]</w:t>
      </w:r>
      <w:r>
        <w:rPr>
          <w:b w:val="0"/>
        </w:rPr>
        <w:t>, and again with the outcome. The sponsor decides how affected data are handled. The site deletes or excludes no data on its own; corrections follow the sponsor's direction and SOP-07.</w:t>
      </w:r>
    </w:p>
    <w:p>
      <w:pPr>
        <w:tabs>
          <w:tab w:pos="648" w:val="left"/>
        </w:tabs>
        <w:ind w:left="648" w:hanging="648"/>
      </w:pPr>
      <w:r>
        <w:rPr>
          <w:b/>
        </w:rPr>
        <w:t>5.6.2</w:t>
        <w:tab/>
      </w:r>
      <w:r>
        <w:rPr>
          <w:b w:val="0"/>
        </w:rPr>
        <w:t>IRB: the PI reports under the IRB's policy, including whenever participants' rights, safety or welfare may have been affected. Substantiated misconduct is usually serious or continuing noncompliance, which the IRB reports to FDA under its procedures (21 CFR 56.108(b)).</w:t>
      </w:r>
    </w:p>
    <w:p>
      <w:pPr>
        <w:tabs>
          <w:tab w:pos="648" w:val="left"/>
        </w:tabs>
        <w:ind w:left="648" w:hanging="648"/>
      </w:pPr>
      <w:r>
        <w:rPr>
          <w:b/>
        </w:rPr>
        <w:t>5.6.3</w:t>
        <w:tab/>
      </w:r>
      <w:r>
        <w:rPr>
          <w:b w:val="0"/>
        </w:rPr>
        <w:t xml:space="preserve">FDA: the Site Director, with </w:t>
      </w:r>
      <w:r>
        <w:rPr>
          <w:b w:val="0"/>
          <w:highlight w:val="yellow"/>
        </w:rPr>
        <w:t>[LEGAL COUNSEL]</w:t>
      </w:r>
      <w:r>
        <w:rPr>
          <w:b w:val="0"/>
        </w:rPr>
        <w:t xml:space="preserve"> and the PI, decides whether the site reports directly to FDA, and the site reports where a regulation, CTA or FDA request requires it. Direct reporting is considered when data submitted to FDA may be false, participant safety was put at risk, or a sponsor does not act. When the Site Director or PI is implicated, the independent reviewer makes this decision with </w:t>
      </w:r>
      <w:r>
        <w:rPr>
          <w:b w:val="0"/>
          <w:highlight w:val="yellow"/>
        </w:rPr>
        <w:t>[LEGAL COUNSEL]</w:t>
      </w:r>
      <w:r>
        <w:rPr>
          <w:b w:val="0"/>
        </w:rPr>
        <w:t>.</w:t>
      </w:r>
    </w:p>
    <w:p>
      <w:pPr>
        <w:tabs>
          <w:tab w:pos="648" w:val="left"/>
        </w:tabs>
        <w:ind w:left="648" w:hanging="648"/>
      </w:pPr>
      <w:r>
        <w:rPr>
          <w:b/>
        </w:rPr>
        <w:t>5.6.4</w:t>
        <w:tab/>
      </w:r>
      <w:r>
        <w:rPr>
          <w:b w:val="0"/>
        </w:rPr>
        <w:t>Federally funded research: if affected research was funded by the Public Health Service, the site follows 42 CFR 93 (revised rule effective 1 January 2026) and the funding institution's procedures, and contacts the prime awardee immediately.</w:t>
      </w:r>
    </w:p>
    <w:p>
      <w:pPr>
        <w:tabs>
          <w:tab w:pos="648" w:val="left"/>
        </w:tabs>
        <w:ind w:left="648" w:hanging="648"/>
      </w:pPr>
      <w:r>
        <w:rPr>
          <w:b/>
        </w:rPr>
        <w:t>5.6.5</w:t>
        <w:tab/>
      </w:r>
      <w:r>
        <w:rPr>
          <w:b w:val="0"/>
        </w:rPr>
        <w:t xml:space="preserve">Payers: where fraud may involve federal health care program billing, the Site Director consults </w:t>
      </w:r>
      <w:r>
        <w:rPr>
          <w:b w:val="0"/>
          <w:highlight w:val="yellow"/>
        </w:rPr>
        <w:t>[LEGAL COUNSEL]</w:t>
      </w:r>
      <w:r>
        <w:rPr>
          <w:b w:val="0"/>
        </w:rPr>
        <w:t xml:space="preserve"> on repayment and disclosure, including the HHS OIG Self-Disclosure Protocol.</w:t>
      </w:r>
    </w:p>
    <w:p>
      <w:pPr>
        <w:tabs>
          <w:tab w:pos="648" w:val="left"/>
        </w:tabs>
        <w:ind w:left="648" w:hanging="648"/>
      </w:pPr>
      <w:r>
        <w:rPr>
          <w:b/>
        </w:rPr>
        <w:t>5.6.6</w:t>
        <w:tab/>
      </w:r>
      <w:r>
        <w:rPr>
          <w:b w:val="0"/>
        </w:rPr>
        <w:t>The Regulatory Coordinator files notifications and responses with F-704-01. The Quality Lead reports the number and type of concerns, without identifying reporters, at the annual management review (SOP-14).</w:t>
      </w:r>
    </w:p>
    <w:p>
      <w:pPr>
        <w:tabs>
          <w:tab w:pos="648" w:val="left"/>
        </w:tabs>
        <w:ind w:left="648" w:hanging="648"/>
      </w:pPr>
      <w:r>
        <w:rPr>
          <w:b/>
        </w:rPr>
        <w:t>5.6.7</w:t>
        <w:tab/>
      </w:r>
      <w:r>
        <w:rPr>
          <w:b w:val="0"/>
        </w:rPr>
        <w:t>Staff and investigators tell the Site Director immediately if they become subject to any FDA, OIG, licensing board or other government action or investigation relating to research or health care. The Site Director handles it under SOP-01, 5.8.2.</w:t>
      </w:r>
    </w:p>
    <w:p>
      <w:pPr>
        <w:pStyle w:val="Heading1"/>
      </w:pPr>
      <w:r>
        <w:t>6. Related Forms and SOPs</w:t>
      </w:r>
    </w:p>
    <w:p>
      <w:pPr>
        <w:pStyle w:val="ListBullet"/>
        <w:spacing w:after="40"/>
        <w:ind w:left="360" w:hanging="259"/>
      </w:pPr>
      <w:r>
        <w:rPr>
          <w:b w:val="0"/>
        </w:rPr>
        <w:t>F-704-01 Integrity Concern Report</w:t>
      </w:r>
    </w:p>
    <w:p>
      <w:pPr>
        <w:pStyle w:val="ListBullet"/>
        <w:spacing w:after="40"/>
        <w:ind w:left="360" w:hanging="259"/>
      </w:pPr>
      <w:r>
        <w:rPr>
          <w:b w:val="0"/>
        </w:rPr>
        <w:t>F-302-01 Delegation of Authority Log</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SOP-07 Source Documentation and EDC</w:t>
      </w:r>
    </w:p>
    <w:p>
      <w:pPr>
        <w:pStyle w:val="ListBullet"/>
        <w:spacing w:after="40"/>
        <w:ind w:left="360" w:hanging="259"/>
      </w:pPr>
      <w:r>
        <w:rPr>
          <w:b w:val="0"/>
        </w:rPr>
        <w:t>SOP-08 Protocol Deviations and CAPA</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SOP-M1 Service Providers and Vendors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56.108(b)</w:t>
            </w:r>
          </w:p>
        </w:tc>
        <w:tc>
          <w:tcPr>
            <w:tcW w:type="dxa" w:w="6946"/>
          </w:tcPr>
          <w:p>
            <w:pPr>
              <w:spacing w:after="0"/>
            </w:pPr>
            <w:r>
              <w:rPr>
                <w:b w:val="0"/>
                <w:sz w:val="19"/>
              </w:rPr>
              <w:t>IRB reporting of serious or continuing noncompliance</w:t>
            </w:r>
          </w:p>
        </w:tc>
      </w:tr>
      <w:tr>
        <w:trPr>
          <w:cantSplit w:val="true"/>
        </w:trPr>
        <w:tc>
          <w:tcPr>
            <w:tcW w:type="dxa" w:w="2701"/>
          </w:tcPr>
          <w:p>
            <w:pPr>
              <w:spacing w:after="0"/>
            </w:pPr>
            <w:r>
              <w:rPr>
                <w:b w:val="0"/>
                <w:sz w:val="19"/>
              </w:rPr>
              <w:t>21 CFR 312.70; 21 CFR 812.119</w:t>
            </w:r>
          </w:p>
        </w:tc>
        <w:tc>
          <w:tcPr>
            <w:tcW w:type="dxa" w:w="6946"/>
          </w:tcPr>
          <w:p>
            <w:pPr>
              <w:spacing w:after="0"/>
            </w:pPr>
            <w:r>
              <w:rPr>
                <w:b w:val="0"/>
                <w:sz w:val="19"/>
              </w:rPr>
              <w:t>Disqualification of a clinical investigator</w:t>
            </w:r>
          </w:p>
        </w:tc>
      </w:tr>
      <w:tr>
        <w:trPr>
          <w:cantSplit w:val="true"/>
        </w:trPr>
        <w:tc>
          <w:tcPr>
            <w:tcW w:type="dxa" w:w="2701"/>
          </w:tcPr>
          <w:p>
            <w:pPr>
              <w:spacing w:after="0"/>
            </w:pPr>
            <w:r>
              <w:rPr>
                <w:b w:val="0"/>
                <w:sz w:val="19"/>
              </w:rPr>
              <w:t>42 CFR 93</w:t>
            </w:r>
          </w:p>
        </w:tc>
        <w:tc>
          <w:tcPr>
            <w:tcW w:type="dxa" w:w="6946"/>
          </w:tcPr>
          <w:p>
            <w:pPr>
              <w:spacing w:after="0"/>
            </w:pPr>
            <w:r>
              <w:rPr>
                <w:b w:val="0"/>
                <w:sz w:val="19"/>
              </w:rPr>
              <w:t>Public Health Service Policies on Research Misconduct (revised rule effective 1 January 2026; PHS-funded research)</w:t>
            </w:r>
          </w:p>
        </w:tc>
      </w:tr>
      <w:tr>
        <w:trPr>
          <w:cantSplit w:val="true"/>
        </w:trPr>
        <w:tc>
          <w:tcPr>
            <w:tcW w:type="dxa" w:w="2701"/>
          </w:tcPr>
          <w:p>
            <w:pPr>
              <w:spacing w:after="0"/>
            </w:pPr>
            <w:r>
              <w:rPr>
                <w:b w:val="0"/>
                <w:sz w:val="19"/>
              </w:rPr>
              <w:t>18 U.S.C. 1001</w:t>
            </w:r>
          </w:p>
        </w:tc>
        <w:tc>
          <w:tcPr>
            <w:tcW w:type="dxa" w:w="6946"/>
          </w:tcPr>
          <w:p>
            <w:pPr>
              <w:spacing w:after="0"/>
            </w:pPr>
            <w:r>
              <w:rPr>
                <w:b w:val="0"/>
                <w:sz w:val="19"/>
              </w:rPr>
              <w:t>False statements to the federal government</w:t>
            </w:r>
          </w:p>
        </w:tc>
      </w:tr>
      <w:tr>
        <w:trPr>
          <w:cantSplit w:val="true"/>
        </w:trPr>
        <w:tc>
          <w:tcPr>
            <w:tcW w:type="dxa" w:w="2701"/>
          </w:tcPr>
          <w:p>
            <w:pPr>
              <w:spacing w:after="0"/>
            </w:pPr>
            <w:r>
              <w:rPr>
                <w:b w:val="0"/>
                <w:sz w:val="19"/>
              </w:rPr>
              <w:t>ICH E6(R3) Principle 9</w:t>
            </w:r>
          </w:p>
        </w:tc>
        <w:tc>
          <w:tcPr>
            <w:tcW w:type="dxa" w:w="6946"/>
          </w:tcPr>
          <w:p>
            <w:pPr>
              <w:spacing w:after="0"/>
            </w:pPr>
            <w:r>
              <w:rPr>
                <w:b w:val="0"/>
                <w:sz w:val="19"/>
              </w:rPr>
              <w:t>Reliable results</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FDA webpage</w:t>
            </w:r>
          </w:p>
        </w:tc>
        <w:tc>
          <w:tcPr>
            <w:tcW w:type="dxa" w:w="6946"/>
          </w:tcPr>
          <w:p>
            <w:pPr>
              <w:spacing w:after="0"/>
            </w:pPr>
            <w:r>
              <w:rPr>
                <w:b w:val="0"/>
                <w:sz w:val="19"/>
              </w:rPr>
              <w:t>Reporting Complaints Related to FDA-Regulated Clinical Trials</w:t>
            </w:r>
          </w:p>
        </w:tc>
      </w:tr>
      <w:tr>
        <w:trPr>
          <w:cantSplit w:val="true"/>
        </w:trPr>
        <w:tc>
          <w:tcPr>
            <w:tcW w:type="dxa" w:w="2701"/>
          </w:tcPr>
          <w:p>
            <w:pPr>
              <w:spacing w:after="0"/>
            </w:pPr>
            <w:r>
              <w:rPr>
                <w:b w:val="0"/>
                <w:sz w:val="19"/>
              </w:rPr>
              <w:t>HHS OIG</w:t>
            </w:r>
          </w:p>
        </w:tc>
        <w:tc>
          <w:tcPr>
            <w:tcW w:type="dxa" w:w="6946"/>
          </w:tcPr>
          <w:p>
            <w:pPr>
              <w:spacing w:after="0"/>
            </w:pPr>
            <w:r>
              <w:rPr>
                <w:b w:val="0"/>
                <w:sz w:val="19"/>
              </w:rPr>
              <w:t>Health Care Fraud Self-Disclosure Protocol</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SOP-M5 Research Integrity and Misconduct Reporting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SOP-M5 Research Integrity and Misconduct Reporting</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