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SOP-M2</w:t>
      </w:r>
    </w:p>
    <w:p>
      <w:pPr>
        <w:pStyle w:val="Title"/>
        <w:pBdr>
          <w:bottom w:val="single" w:sz="12" w:space="1" w:color="1F3864"/>
        </w:pBdr>
        <w:spacing w:after="120"/>
      </w:pPr>
      <w:r>
        <w:rPr>
          <w:b w:val="0"/>
          <w:color w:val="1F3864"/>
          <w:sz w:val="36"/>
        </w:rPr>
        <w:t>Feasibility, Contracts, Budgets and Research Billing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how </w:t>
      </w:r>
      <w:r>
        <w:rPr>
          <w:b w:val="0"/>
          <w:highlight w:val="yellow"/>
        </w:rPr>
        <w:t>[SITE NAME]</w:t>
      </w:r>
      <w:r>
        <w:rPr>
          <w:b w:val="0"/>
        </w:rPr>
        <w:t xml:space="preserve"> assesses and accepts studies, reviews and signs confidentiality agreements (CDAs) and clinical trial agreements (CTAs), builds budgets, invoices and reconciles study payments, and keeps research billing to insurers accurate. It is an internal business procedure. </w:t>
      </w:r>
      <w:r>
        <w:rPr>
          <w:b w:val="0"/>
          <w:highlight w:val="yellow"/>
        </w:rPr>
        <w:t>[SITE NAME]</w:t>
      </w:r>
      <w:r>
        <w:rPr>
          <w:b w:val="0"/>
        </w:rPr>
        <w:t xml:space="preserve"> may choose not to share it with sponsors, CROs and monitors. It can still be listed on the site's own SOP index (F-100-03), marked as an internal business procedure.</w:t>
      </w:r>
    </w:p>
    <w:p>
      <w:pPr/>
      <w:r>
        <w:rPr>
          <w:b w:val="0"/>
        </w:rPr>
        <w:t xml:space="preserve">This SOP describes operating steps. It is not legal advice; </w:t>
      </w:r>
      <w:r>
        <w:rPr>
          <w:b w:val="0"/>
          <w:highlight w:val="yellow"/>
        </w:rPr>
        <w:t>[SITE NAME]</w:t>
      </w:r>
      <w:r>
        <w:rPr>
          <w:b w:val="0"/>
        </w:rPr>
        <w:t xml:space="preserve"> confirms legal and contracting positions with </w:t>
      </w:r>
      <w:r>
        <w:rPr>
          <w:b w:val="0"/>
          <w:highlight w:val="yellow"/>
        </w:rPr>
        <w:t>[LEGAL COUNSEL]</w:t>
      </w:r>
      <w:r>
        <w:rPr>
          <w:b w:val="0"/>
        </w:rPr>
        <w:t>.</w:t>
      </w:r>
    </w:p>
    <w:p>
      <w:pPr>
        <w:pStyle w:val="Heading1"/>
      </w:pPr>
      <w:r>
        <w:t>2. Scope</w:t>
      </w:r>
    </w:p>
    <w:p>
      <w:pPr/>
      <w:r>
        <w:rPr>
          <w:b w:val="0"/>
        </w:rPr>
        <w:t xml:space="preserve">Adopt this module only if </w:t>
      </w:r>
      <w:r>
        <w:rPr>
          <w:b w:val="0"/>
          <w:highlight w:val="yellow"/>
        </w:rPr>
        <w:t>[SITE NAME]</w:t>
      </w:r>
      <w:r>
        <w:rPr>
          <w:b w:val="0"/>
        </w:rPr>
        <w:t xml:space="preserve"> answers feasibility requests, negotiates its own CDAs, CTAs or budgets, or bills any insurer or participant for items in a study. Most independent sites meet this trigger. It applies to industry, CRO-managed and investigator-initiated studies at all locations. A site that has not adopted it bills no insurer or participant for study items and records a no-billing attestation before activation (SOP-03, 5.10.5).</w:t>
      </w:r>
    </w:p>
    <w:p>
      <w:pPr/>
      <w:r>
        <w:rPr>
          <w:b w:val="0"/>
        </w:rPr>
        <w:t xml:space="preserve">Negotiation positions, fallbacks and budget priorities are kept only in </w:t>
      </w:r>
      <w:r>
        <w:rPr>
          <w:b w:val="0"/>
          <w:highlight w:val="yellow"/>
        </w:rPr>
        <w:t>[CONTRACT PLAYBOOK]</w:t>
      </w:r>
      <w:r>
        <w:rPr>
          <w:b w:val="0"/>
        </w:rPr>
        <w:t>, a separate, uncontrolled business document that is not part of this module and is not shared with sponsors. Participant payments are in SOP-10. The rule on what pre-screening may happen before IRB approval and activation is in SOP-05. Follow the sponsor or IRB requirement where it is stricter than this module.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 xml:space="preserve">Owns feasibility, contracting and research billing. Makes the go/no-go decision with the PI. Approves budgets, coverage analyses and escalated contract terms. Decides when to involve </w:t>
            </w:r>
            <w:r>
              <w:rPr>
                <w:b w:val="0"/>
                <w:sz w:val="19"/>
                <w:highlight w:val="yellow"/>
              </w:rPr>
              <w:t>[LEGAL COUNSEL]</w:t>
            </w:r>
            <w:r>
              <w:rPr>
                <w:b w:val="0"/>
                <w:sz w:val="19"/>
              </w:rPr>
              <w:t>.</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Reviews protocol fit, safety and personal capacity. Approves the enrollment estimate. Accepts investigator obligations in the CTA. Confirms standard-of-care determinations in the coverage analysis.</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 xml:space="preserve">Logs agreements, reviews them against F-201-01, builds and negotiates budgets within the limits in </w:t>
            </w:r>
            <w:r>
              <w:rPr>
                <w:b w:val="0"/>
                <w:sz w:val="19"/>
                <w:highlight w:val="yellow"/>
              </w:rPr>
              <w:t>[CONTRACT PLAYBOOK]</w:t>
            </w:r>
            <w:r>
              <w:rPr>
                <w:b w:val="0"/>
                <w:sz w:val="19"/>
              </w:rPr>
              <w:t>, prepares the coverage analysis on F-202-01, invoices and reconciles.</w:t>
            </w:r>
          </w:p>
        </w:tc>
      </w:tr>
      <w:tr>
        <w:trPr>
          <w:cantSplit w:val="true"/>
        </w:trPr>
        <w:tc>
          <w:tcPr>
            <w:tcW w:type="dxa" w:w="2701"/>
          </w:tcPr>
          <w:p>
            <w:pPr>
              <w:keepNext/>
              <w:spacing w:after="0"/>
            </w:pPr>
            <w:r>
              <w:rPr>
                <w:b w:val="0"/>
                <w:sz w:val="19"/>
              </w:rPr>
              <w:t>Feasibility owner (Lead CRC or Recruitment Specialist, assigned per study)</w:t>
            </w:r>
          </w:p>
        </w:tc>
        <w:tc>
          <w:tcPr>
            <w:tcW w:type="dxa" w:w="6946"/>
          </w:tcPr>
          <w:p>
            <w:pPr>
              <w:keepNext/>
              <w:spacing w:after="0"/>
            </w:pPr>
            <w:r>
              <w:rPr>
                <w:b w:val="0"/>
                <w:sz w:val="19"/>
              </w:rPr>
              <w:t>Runs queries, completes F-200-01 and answers questionnaires from recorded data.</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Logs opportunities, routes CDAs, files executed agreements and the approved coverage analysis in the ISF.</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Confirms visit and procedure counts and staff time for the budget. Reports invoiceable events. Flags research participants and marks billing designations on each study visit.</w:t>
            </w:r>
          </w:p>
        </w:tc>
      </w:tr>
      <w:tr>
        <w:trPr>
          <w:cantSplit w:val="true"/>
        </w:trPr>
        <w:tc>
          <w:tcPr>
            <w:tcW w:type="dxa" w:w="2701"/>
          </w:tcPr>
          <w:p>
            <w:pPr>
              <w:spacing w:after="0"/>
            </w:pPr>
            <w:r>
              <w:rPr>
                <w:b w:val="0"/>
                <w:sz w:val="19"/>
              </w:rPr>
              <w:t>Billing staff or billing service</w:t>
            </w:r>
          </w:p>
        </w:tc>
        <w:tc>
          <w:tcPr>
            <w:tcW w:type="dxa" w:w="6946"/>
          </w:tcPr>
          <w:p>
            <w:pPr>
              <w:spacing w:after="0"/>
            </w:pPr>
            <w:r>
              <w:rPr>
                <w:b w:val="0"/>
                <w:sz w:val="19"/>
              </w:rPr>
              <w:t>Holds, codes and releases research claims as the billing grid directs.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Feasibility assessment</w:t>
            </w:r>
          </w:p>
        </w:tc>
        <w:tc>
          <w:tcPr>
            <w:tcW w:type="dxa" w:w="6946"/>
          </w:tcPr>
          <w:p>
            <w:pPr>
              <w:keepNext/>
              <w:spacing w:after="0"/>
            </w:pPr>
            <w:r>
              <w:rPr>
                <w:b w:val="0"/>
                <w:sz w:val="19"/>
              </w:rPr>
              <w:t>The site's internal evaluation of a proposed study, recorded on F-200-01.</w:t>
            </w:r>
          </w:p>
        </w:tc>
      </w:tr>
      <w:tr>
        <w:trPr>
          <w:cantSplit w:val="true"/>
        </w:trPr>
        <w:tc>
          <w:tcPr>
            <w:tcW w:type="dxa" w:w="2701"/>
          </w:tcPr>
          <w:p>
            <w:pPr>
              <w:keepNext/>
              <w:spacing w:after="0"/>
            </w:pPr>
            <w:r>
              <w:rPr>
                <w:b w:val="0"/>
                <w:sz w:val="19"/>
              </w:rPr>
              <w:t>Population fact sheet</w:t>
            </w:r>
          </w:p>
        </w:tc>
        <w:tc>
          <w:tcPr>
            <w:tcW w:type="dxa" w:w="6946"/>
          </w:tcPr>
          <w:p>
            <w:pPr>
              <w:keepNext/>
              <w:spacing w:after="0"/>
            </w:pPr>
            <w:r>
              <w:rPr>
                <w:b w:val="0"/>
                <w:sz w:val="19"/>
              </w:rPr>
              <w:t>A dated summary of the site's aggregate patient counts by condition, each traced to a recorded query, used to answer first-round questionnaires.</w:t>
            </w:r>
          </w:p>
        </w:tc>
      </w:tr>
      <w:tr>
        <w:trPr>
          <w:cantSplit w:val="true"/>
        </w:trPr>
        <w:tc>
          <w:tcPr>
            <w:tcW w:type="dxa" w:w="2701"/>
          </w:tcPr>
          <w:p>
            <w:pPr>
              <w:keepNext/>
              <w:spacing w:after="0"/>
            </w:pPr>
            <w:r>
              <w:rPr>
                <w:b w:val="0"/>
                <w:sz w:val="19"/>
              </w:rPr>
              <w:t>Invoiceable</w:t>
            </w:r>
          </w:p>
        </w:tc>
        <w:tc>
          <w:tcPr>
            <w:tcW w:type="dxa" w:w="6946"/>
          </w:tcPr>
          <w:p>
            <w:pPr>
              <w:keepNext/>
              <w:spacing w:after="0"/>
            </w:pPr>
            <w:r>
              <w:rPr>
                <w:b w:val="0"/>
                <w:sz w:val="19"/>
              </w:rPr>
              <w:t>A payment the site must request by invoice because EDC data do not trigger it (for example screen-fail fees, IRB fees, unscheduled visits).</w:t>
            </w:r>
          </w:p>
        </w:tc>
      </w:tr>
      <w:tr>
        <w:trPr>
          <w:cantSplit w:val="true"/>
        </w:trPr>
        <w:tc>
          <w:tcPr>
            <w:tcW w:type="dxa" w:w="2701"/>
          </w:tcPr>
          <w:p>
            <w:pPr>
              <w:keepNext/>
              <w:spacing w:after="0"/>
            </w:pPr>
            <w:r>
              <w:rPr>
                <w:b w:val="0"/>
                <w:sz w:val="19"/>
              </w:rPr>
              <w:t>Coverage analysis (CA)</w:t>
            </w:r>
          </w:p>
        </w:tc>
        <w:tc>
          <w:tcPr>
            <w:tcW w:type="dxa" w:w="6946"/>
          </w:tcPr>
          <w:p>
            <w:pPr>
              <w:keepNext/>
              <w:spacing w:after="0"/>
            </w:pPr>
            <w:r>
              <w:rPr>
                <w:b w:val="0"/>
                <w:sz w:val="19"/>
              </w:rPr>
              <w:t>A study-level review of whether the study qualifies for Medicare coverage of routine costs and, for each protocol item, who pays. Recorded on F-202-01.</w:t>
            </w:r>
          </w:p>
        </w:tc>
      </w:tr>
      <w:tr>
        <w:trPr>
          <w:cantSplit w:val="true"/>
        </w:trPr>
        <w:tc>
          <w:tcPr>
            <w:tcW w:type="dxa" w:w="2701"/>
          </w:tcPr>
          <w:p>
            <w:pPr>
              <w:keepNext/>
              <w:spacing w:after="0"/>
            </w:pPr>
            <w:r>
              <w:rPr>
                <w:b w:val="0"/>
                <w:sz w:val="19"/>
              </w:rPr>
              <w:t>Billing grid</w:t>
            </w:r>
          </w:p>
        </w:tc>
        <w:tc>
          <w:tcPr>
            <w:tcW w:type="dxa" w:w="6946"/>
          </w:tcPr>
          <w:p>
            <w:pPr>
              <w:keepNext/>
              <w:spacing w:after="0"/>
            </w:pPr>
            <w:r>
              <w:rPr>
                <w:b w:val="0"/>
                <w:sz w:val="19"/>
              </w:rPr>
              <w:t>The visit-by-procedure table derived from the CA that tells staff who pays for each item and how to code it.</w:t>
            </w:r>
          </w:p>
        </w:tc>
      </w:tr>
      <w:tr>
        <w:trPr>
          <w:cantSplit w:val="true"/>
        </w:trPr>
        <w:tc>
          <w:tcPr>
            <w:tcW w:type="dxa" w:w="2701"/>
          </w:tcPr>
          <w:p>
            <w:pPr>
              <w:keepNext/>
              <w:spacing w:after="0"/>
            </w:pPr>
            <w:r>
              <w:rPr>
                <w:b w:val="0"/>
                <w:sz w:val="19"/>
              </w:rPr>
              <w:t>Routine costs</w:t>
            </w:r>
          </w:p>
        </w:tc>
        <w:tc>
          <w:tcPr>
            <w:tcW w:type="dxa" w:w="6946"/>
          </w:tcPr>
          <w:p>
            <w:pPr>
              <w:keepNext/>
              <w:spacing w:after="0"/>
            </w:pPr>
            <w:r>
              <w:rPr>
                <w:b w:val="0"/>
                <w:sz w:val="19"/>
              </w:rPr>
              <w:t>Under NCD 310.1, items and services generally available to Medicare beneficiaries and typically provided absent a clinical trial, or needed to provide or monitor the investigational item or treat its complications.</w:t>
            </w:r>
          </w:p>
        </w:tc>
      </w:tr>
      <w:tr>
        <w:trPr>
          <w:cantSplit w:val="true"/>
        </w:trPr>
        <w:tc>
          <w:tcPr>
            <w:tcW w:type="dxa" w:w="2701"/>
          </w:tcPr>
          <w:p>
            <w:pPr>
              <w:spacing w:after="0"/>
            </w:pPr>
            <w:r>
              <w:rPr>
                <w:b w:val="0"/>
                <w:sz w:val="19"/>
              </w:rPr>
              <w:t>Designations</w:t>
            </w:r>
          </w:p>
        </w:tc>
        <w:tc>
          <w:tcPr>
            <w:tcW w:type="dxa" w:w="6946"/>
          </w:tcPr>
          <w:p>
            <w:pPr>
              <w:spacing w:after="0"/>
            </w:pPr>
            <w:r>
              <w:rPr>
                <w:b w:val="0"/>
                <w:sz w:val="19"/>
              </w:rPr>
              <w:t>S = sponsor-paid; R = routine and billable; N = research-only, not billed.</w:t>
            </w:r>
          </w:p>
        </w:tc>
      </w:tr>
    </w:tbl>
    <w:p>
      <w:pPr>
        <w:spacing w:after="40"/>
      </w:pPr>
    </w:p>
    <w:p>
      <w:pPr>
        <w:pStyle w:val="Heading1"/>
      </w:pPr>
      <w:r>
        <w:t>5. Procedure</w:t>
      </w:r>
    </w:p>
    <w:p>
      <w:pPr>
        <w:pStyle w:val="Heading2"/>
      </w:pPr>
      <w:r>
        <w:t>5.1 Intake and first-round questionnaires</w:t>
      </w:r>
    </w:p>
    <w:p>
      <w:pPr>
        <w:tabs>
          <w:tab w:pos="648" w:val="left"/>
        </w:tabs>
        <w:ind w:left="648" w:hanging="648"/>
      </w:pPr>
      <w:r>
        <w:rPr>
          <w:b/>
        </w:rPr>
        <w:t>5.1.1</w:t>
        <w:tab/>
      </w:r>
      <w:r>
        <w:rPr>
          <w:b w:val="0"/>
        </w:rPr>
        <w:t xml:space="preserve">Staff who receive a study inquiry forward it to </w:t>
      </w:r>
      <w:r>
        <w:rPr>
          <w:b w:val="0"/>
          <w:highlight w:val="yellow"/>
        </w:rPr>
        <w:t>[FEASIBILITY INBOX]</w:t>
      </w:r>
      <w:r>
        <w:rPr>
          <w:b w:val="0"/>
        </w:rPr>
        <w:t xml:space="preserve"> within </w:t>
      </w:r>
      <w:r>
        <w:rPr>
          <w:b w:val="0"/>
          <w:highlight w:val="green"/>
        </w:rPr>
        <w:t>[DEFAULT: 1 business day]</w:t>
      </w:r>
      <w:r>
        <w:rPr>
          <w:b w:val="0"/>
        </w:rPr>
        <w:t xml:space="preserve">. The Regulatory Coordinator logs it in </w:t>
      </w:r>
      <w:r>
        <w:rPr>
          <w:b w:val="0"/>
          <w:highlight w:val="yellow"/>
        </w:rPr>
        <w:t>[STUDY PIPELINE TRACKER]</w:t>
      </w:r>
      <w:r>
        <w:rPr>
          <w:b w:val="0"/>
        </w:rPr>
        <w:t xml:space="preserve"> with sponsor, protocol, indication, phase, contact and due date.</w:t>
      </w:r>
    </w:p>
    <w:p>
      <w:pPr>
        <w:tabs>
          <w:tab w:pos="648" w:val="left"/>
        </w:tabs>
        <w:ind w:left="648" w:hanging="648"/>
      </w:pPr>
      <w:r>
        <w:rPr>
          <w:b/>
        </w:rPr>
        <w:t>5.1.2</w:t>
        <w:tab/>
      </w:r>
      <w:r>
        <w:rPr>
          <w:b w:val="0"/>
        </w:rPr>
        <w:t>Confidential protocol materials are not opened or circulated until the CDA is executed (5.4), unless the sponsor states in writing that none is needed.</w:t>
      </w:r>
    </w:p>
    <w:p>
      <w:pPr>
        <w:tabs>
          <w:tab w:pos="648" w:val="left"/>
        </w:tabs>
        <w:ind w:left="648" w:hanging="648"/>
      </w:pPr>
      <w:r>
        <w:rPr>
          <w:b/>
        </w:rPr>
        <w:t>5.1.3</w:t>
        <w:tab/>
      </w:r>
      <w:r>
        <w:rPr>
          <w:b w:val="0"/>
        </w:rPr>
        <w:t xml:space="preserve">Tier 1 (questionnaire only). The feasibility owner answers a first-round questionnaire from the population fact sheet and the PI's read of the synopsis. Any count older than </w:t>
      </w:r>
      <w:r>
        <w:rPr>
          <w:b w:val="0"/>
          <w:highlight w:val="green"/>
        </w:rPr>
        <w:t>[DEFAULT: 6 months]</w:t>
      </w:r>
      <w:r>
        <w:rPr>
          <w:b w:val="0"/>
        </w:rPr>
        <w:t xml:space="preserve"> is re-run before it is used. Every number entered traces to the fact sheet or a source the site keeps; where no data support an answer, the answer says so (for example "investigator estimate; no structured query").</w:t>
      </w:r>
    </w:p>
    <w:p>
      <w:pPr>
        <w:tabs>
          <w:tab w:pos="648" w:val="left"/>
        </w:tabs>
        <w:ind w:left="648" w:hanging="648"/>
      </w:pPr>
      <w:r>
        <w:rPr>
          <w:b/>
        </w:rPr>
        <w:t>5.1.4</w:t>
        <w:tab/>
      </w:r>
      <w:r>
        <w:rPr>
          <w:b w:val="0"/>
        </w:rPr>
        <w:t>Tier 2 (full assessment) starts when the sponsor shortlists the site, requests a qualification visit, or sends a CTA, or when the Site Director asks for it. The feasibility owner completes F-200-01 under 5.2.</w:t>
      </w:r>
    </w:p>
    <w:p>
      <w:pPr>
        <w:tabs>
          <w:tab w:pos="648" w:val="left"/>
        </w:tabs>
        <w:ind w:left="648" w:hanging="648"/>
      </w:pPr>
      <w:r>
        <w:rPr>
          <w:b/>
        </w:rPr>
        <w:t>5.1.5</w:t>
        <w:tab/>
      </w:r>
      <w:r>
        <w:rPr>
          <w:b w:val="0"/>
        </w:rPr>
        <w:t xml:space="preserve">The feasibility owner saves a copy or screenshots of every submitted questionnaire in </w:t>
      </w:r>
      <w:r>
        <w:rPr>
          <w:b w:val="0"/>
          <w:highlight w:val="yellow"/>
        </w:rPr>
        <w:t>[CONTRACTS FOLDER]</w:t>
      </w:r>
      <w:r>
        <w:rPr>
          <w:b w:val="0"/>
        </w:rPr>
        <w:t>.</w:t>
      </w:r>
    </w:p>
    <w:p>
      <w:pPr>
        <w:pStyle w:val="Heading2"/>
      </w:pPr>
      <w:r>
        <w:t>5.2 Full feasibility assessment (Tier 2)</w:t>
      </w:r>
    </w:p>
    <w:p>
      <w:pPr>
        <w:tabs>
          <w:tab w:pos="648" w:val="left"/>
        </w:tabs>
        <w:ind w:left="648" w:hanging="648"/>
      </w:pPr>
      <w:r>
        <w:rPr>
          <w:b/>
        </w:rPr>
        <w:t>5.2.1</w:t>
        <w:tab/>
      </w:r>
      <w:r>
        <w:rPr>
          <w:b w:val="0"/>
        </w:rPr>
        <w:t>The feasibility owner records on F-200-01 the design, population, key criteria, visits, enrollment target and period, IP storage and special procedures, and flags any stop factor (no qualified investigator, a facility the site cannot source, a directly competing study, a timeline the site cannot meet).</w:t>
      </w:r>
    </w:p>
    <w:p>
      <w:pPr>
        <w:tabs>
          <w:tab w:pos="648" w:val="left"/>
        </w:tabs>
        <w:ind w:left="648" w:hanging="648"/>
      </w:pPr>
      <w:r>
        <w:rPr>
          <w:b/>
        </w:rPr>
        <w:t>5.2.2</w:t>
        <w:tab/>
      </w:r>
      <w:r>
        <w:rPr>
          <w:b w:val="0"/>
        </w:rPr>
        <w:t>Population counts come from queries of data the site holds (EHR, practice management, volunteer database, prior screening logs), using structured fields where possible. For each query the feasibility owner records the source, date, criteria, look-back period, count and who ran it. Criteria that cannot be queried are listed as unqueried. Queries produce aggregate counts only; no PHI goes into a questionnaire. Any chart review follows the HIPAA pathway and pre-activation rule in SOP-05.</w:t>
      </w:r>
    </w:p>
    <w:p>
      <w:pPr>
        <w:tabs>
          <w:tab w:pos="648" w:val="left"/>
        </w:tabs>
        <w:ind w:left="648" w:hanging="648"/>
      </w:pPr>
      <w:r>
        <w:rPr>
          <w:b/>
        </w:rPr>
        <w:t>5.2.3</w:t>
        <w:tab/>
      </w:r>
      <w:r>
        <w:rPr>
          <w:b w:val="0"/>
        </w:rPr>
        <w:t>Referral-based populations are recorded with evidence of past referral volume. A verbal assurance from a referring practice is recorded as such, not as a count.</w:t>
      </w:r>
    </w:p>
    <w:p>
      <w:pPr>
        <w:tabs>
          <w:tab w:pos="648" w:val="left"/>
        </w:tabs>
        <w:ind w:left="648" w:hanging="648"/>
      </w:pPr>
      <w:r>
        <w:rPr>
          <w:b/>
        </w:rPr>
        <w:t>5.2.4</w:t>
        <w:tab/>
      </w:r>
      <w:r>
        <w:rPr>
          <w:b w:val="0"/>
        </w:rPr>
        <w:t>The Lead CRC estimates coordinator hours per participant. The Site Director records whether the study can be staffed, whether the PI and Sub-Is have time for investigator tasks at the expected enrollment rate, and, for blinded studies, whether a separate unblinded person and backup exist (SOP-05). Where the study would have no Sub-I, the Site Director records who the covering investigator will be (SOP-16, 5.6.2).</w:t>
      </w:r>
    </w:p>
    <w:p>
      <w:pPr>
        <w:tabs>
          <w:tab w:pos="648" w:val="left"/>
        </w:tabs>
        <w:ind w:left="648" w:hanging="648"/>
      </w:pPr>
      <w:r>
        <w:rPr>
          <w:b/>
        </w:rPr>
        <w:t>5.2.5</w:t>
        <w:tab/>
      </w:r>
      <w:r>
        <w:rPr>
          <w:b w:val="0"/>
        </w:rPr>
        <w:t>The feasibility owner checks facilities and equipment against the protocol (rooms, IP storage and temperature monitoring, controlled substance storage, specimen processing, calibrated equipment, CLIA certificate type for on-site testing, vendors, systems) and records each gap and the plan to close it.</w:t>
      </w:r>
    </w:p>
    <w:p>
      <w:pPr>
        <w:tabs>
          <w:tab w:pos="648" w:val="left"/>
        </w:tabs>
        <w:ind w:left="648" w:hanging="648"/>
      </w:pPr>
      <w:r>
        <w:rPr>
          <w:b/>
        </w:rPr>
        <w:t>5.2.6</w:t>
        <w:tab/>
      </w:r>
      <w:r>
        <w:rPr>
          <w:b w:val="0"/>
        </w:rPr>
        <w:t>The PI records on F-200-01 scientific interest, safety concerns, fit with how the site's patients are managed, availability for the study's duration and any conflict of interest (SOP-02). A PI without relevant experience records how qualification will be shown (for example a qualified Sub-I) or declines.</w:t>
      </w:r>
    </w:p>
    <w:p>
      <w:pPr>
        <w:tabs>
          <w:tab w:pos="648" w:val="left"/>
        </w:tabs>
        <w:ind w:left="648" w:hanging="648"/>
      </w:pPr>
      <w:r>
        <w:rPr>
          <w:b/>
        </w:rPr>
        <w:t>5.2.7</w:t>
        <w:tab/>
      </w:r>
      <w:r>
        <w:rPr>
          <w:b w:val="0"/>
        </w:rPr>
        <w:t xml:space="preserve">The feasibility owner builds the enrollment estimate as a range (low and expected), applying recorded assumptions for unqueried criteria, interest, screen-fail rate (site history, or a stated conservative figure), months of active enrollment and competing studies. The PI approves it. The site reports </w:t>
      </w:r>
      <w:r>
        <w:rPr>
          <w:b w:val="0"/>
          <w:highlight w:val="green"/>
        </w:rPr>
        <w:t>[DEFAULT: the expected value, with the range where the questionnaire allows]</w:t>
      </w:r>
      <w:r>
        <w:rPr>
          <w:b w:val="0"/>
        </w:rPr>
        <w:t xml:space="preserve"> and never a number above the approved expected value.</w:t>
      </w:r>
    </w:p>
    <w:p>
      <w:pPr>
        <w:tabs>
          <w:tab w:pos="648" w:val="left"/>
        </w:tabs>
        <w:ind w:left="648" w:hanging="648"/>
      </w:pPr>
      <w:r>
        <w:rPr>
          <w:b/>
        </w:rPr>
        <w:t>5.2.8</w:t>
        <w:tab/>
      </w:r>
      <w:r>
        <w:rPr>
          <w:b w:val="0"/>
        </w:rPr>
        <w:t>The Finance / Contracts Lead gives a preliminary view of financial viability (viable, viable only with negotiation, not viable) on F-200-01.</w:t>
      </w:r>
    </w:p>
    <w:p>
      <w:pPr>
        <w:pStyle w:val="Heading2"/>
      </w:pPr>
      <w:r>
        <w:t>5.3 Go/no-go</w:t>
      </w:r>
    </w:p>
    <w:p>
      <w:pPr>
        <w:tabs>
          <w:tab w:pos="648" w:val="left"/>
        </w:tabs>
        <w:ind w:left="648" w:hanging="648"/>
      </w:pPr>
      <w:r>
        <w:rPr>
          <w:b/>
        </w:rPr>
        <w:t>5.3.1</w:t>
        <w:tab/>
      </w:r>
      <w:r>
        <w:rPr>
          <w:b w:val="0"/>
        </w:rPr>
        <w:t>The PI and Site Director review F-200-01 together, in a meeting or by documented email, and record go, conditional go or no-go, the reasons, any conditions and their signatures or electronic approvals.</w:t>
      </w:r>
    </w:p>
    <w:p>
      <w:pPr>
        <w:tabs>
          <w:tab w:pos="648" w:val="left"/>
        </w:tabs>
        <w:ind w:left="648" w:hanging="648"/>
      </w:pPr>
      <w:r>
        <w:rPr>
          <w:b/>
        </w:rPr>
        <w:t>5.3.2</w:t>
        <w:tab/>
      </w:r>
      <w:r>
        <w:rPr>
          <w:b w:val="0"/>
        </w:rPr>
        <w:t>The PI may decline any study for medical, ethical or capacity reasons. The site does not proceed without a willing PI. A conditional go becomes a go only when the Site Director records each condition as met.</w:t>
      </w:r>
    </w:p>
    <w:p>
      <w:pPr>
        <w:tabs>
          <w:tab w:pos="648" w:val="left"/>
        </w:tabs>
        <w:ind w:left="648" w:hanging="648"/>
      </w:pPr>
      <w:r>
        <w:rPr>
          <w:b/>
        </w:rPr>
        <w:t>5.3.3</w:t>
        <w:tab/>
      </w:r>
      <w:r>
        <w:rPr>
          <w:b w:val="0"/>
        </w:rPr>
        <w:t>If the protocol changes materially after the decision (new criteria, added visits, larger target), the feasibility owner updates F-200-01 and the PI and Site Director confirm the decision.</w:t>
      </w:r>
    </w:p>
    <w:p>
      <w:pPr>
        <w:tabs>
          <w:tab w:pos="648" w:val="left"/>
        </w:tabs>
        <w:ind w:left="648" w:hanging="648"/>
      </w:pPr>
      <w:r>
        <w:rPr>
          <w:b/>
        </w:rPr>
        <w:t>5.3.4</w:t>
        <w:tab/>
      </w:r>
      <w:r>
        <w:rPr>
          <w:b w:val="0"/>
        </w:rPr>
        <w:t>On a no-go, the feasibility owner tells the sponsor the site is declining, without disclosing other studies' information.</w:t>
      </w:r>
    </w:p>
    <w:p>
      <w:pPr>
        <w:pStyle w:val="Heading2"/>
      </w:pPr>
      <w:r>
        <w:t>5.4 Confidentiality agreements</w:t>
      </w:r>
    </w:p>
    <w:p>
      <w:pPr>
        <w:tabs>
          <w:tab w:pos="648" w:val="left"/>
        </w:tabs>
        <w:ind w:left="648" w:hanging="648"/>
      </w:pPr>
      <w:r>
        <w:rPr>
          <w:b/>
        </w:rPr>
        <w:t>5.4.1</w:t>
        <w:tab/>
      </w:r>
      <w:r>
        <w:rPr>
          <w:b w:val="0"/>
        </w:rPr>
        <w:t xml:space="preserve">The Finance / Contracts Lead logs every CDA, CTA, amendment and budget in </w:t>
      </w:r>
      <w:r>
        <w:rPr>
          <w:b w:val="0"/>
          <w:highlight w:val="yellow"/>
        </w:rPr>
        <w:t>[CONTRACT TRACKER]</w:t>
      </w:r>
      <w:r>
        <w:rPr>
          <w:b w:val="0"/>
        </w:rPr>
        <w:t xml:space="preserve"> and keeps every version exchanged in </w:t>
      </w:r>
      <w:r>
        <w:rPr>
          <w:b w:val="0"/>
          <w:highlight w:val="yellow"/>
        </w:rPr>
        <w:t>[CONTRACTS FOLDER]</w:t>
      </w:r>
      <w:r>
        <w:rPr>
          <w:b w:val="0"/>
        </w:rPr>
        <w:t>, dated and named by sender.</w:t>
      </w:r>
    </w:p>
    <w:p>
      <w:pPr>
        <w:tabs>
          <w:tab w:pos="648" w:val="left"/>
        </w:tabs>
        <w:ind w:left="648" w:hanging="648"/>
      </w:pPr>
      <w:r>
        <w:rPr>
          <w:b/>
        </w:rPr>
        <w:t>5.4.2</w:t>
        <w:tab/>
      </w:r>
      <w:r>
        <w:rPr>
          <w:b w:val="0"/>
        </w:rPr>
        <w:t xml:space="preserve">Within </w:t>
      </w:r>
      <w:r>
        <w:rPr>
          <w:b w:val="0"/>
          <w:highlight w:val="green"/>
        </w:rPr>
        <w:t>[DEFAULT: 3 business days]</w:t>
      </w:r>
      <w:r>
        <w:rPr>
          <w:b w:val="0"/>
        </w:rPr>
        <w:t xml:space="preserve"> of receipt, the Finance / Contracts Lead reviews the CDA against the CDA items on F-201-01: correct parties (</w:t>
      </w:r>
      <w:r>
        <w:rPr>
          <w:b w:val="0"/>
          <w:highlight w:val="yellow"/>
        </w:rPr>
        <w:t>[SITE LEGAL NAME]</w:t>
      </w:r>
      <w:r>
        <w:rPr>
          <w:b w:val="0"/>
        </w:rPr>
        <w:t>) and disclosure permitted to IRBs, regulators, staff who need to know and as law requires. A CDA that passes every item may be signed by an authorized signatory (5.7). Any other CDA goes to the Site Director.</w:t>
      </w:r>
    </w:p>
    <w:p>
      <w:pPr>
        <w:pStyle w:val="Heading2"/>
      </w:pPr>
      <w:r>
        <w:t>5.5 CTA review</w:t>
      </w:r>
    </w:p>
    <w:p>
      <w:pPr>
        <w:tabs>
          <w:tab w:pos="648" w:val="left"/>
        </w:tabs>
        <w:ind w:left="648" w:hanging="648"/>
      </w:pPr>
      <w:r>
        <w:rPr>
          <w:b/>
        </w:rPr>
        <w:t>5.5.1</w:t>
        <w:tab/>
      </w:r>
      <w:r>
        <w:rPr>
          <w:b w:val="0"/>
        </w:rPr>
        <w:t>When the CTA arrives, the Finance / Contracts Lead confirms a go decision exists and that the CTA cites the protocol version under review.</w:t>
      </w:r>
    </w:p>
    <w:p>
      <w:pPr>
        <w:tabs>
          <w:tab w:pos="648" w:val="left"/>
        </w:tabs>
        <w:ind w:left="648" w:hanging="648"/>
      </w:pPr>
      <w:r>
        <w:rPr>
          <w:b/>
        </w:rPr>
        <w:t>5.5.2</w:t>
        <w:tab/>
      </w:r>
      <w:r>
        <w:rPr>
          <w:b w:val="0"/>
        </w:rPr>
        <w:t xml:space="preserve">The Finance / Contracts Lead reviews the CTA against every item on F-201-01 and against </w:t>
      </w:r>
      <w:r>
        <w:rPr>
          <w:b w:val="0"/>
          <w:highlight w:val="yellow"/>
        </w:rPr>
        <w:t>[CONTRACT PLAYBOOK]</w:t>
      </w:r>
      <w:r>
        <w:rPr>
          <w:b w:val="0"/>
        </w:rPr>
        <w:t xml:space="preserve">, and marks each item acceptable, negotiated or escalated. Escalated items go to the Site Director, who accepts, negotiates further, involves </w:t>
      </w:r>
      <w:r>
        <w:rPr>
          <w:b w:val="0"/>
          <w:highlight w:val="yellow"/>
        </w:rPr>
        <w:t>[LEGAL COUNSEL]</w:t>
      </w:r>
      <w:r>
        <w:rPr>
          <w:b w:val="0"/>
        </w:rPr>
        <w:t xml:space="preserve"> or declines the study.</w:t>
      </w:r>
    </w:p>
    <w:p>
      <w:pPr>
        <w:tabs>
          <w:tab w:pos="648" w:val="left"/>
        </w:tabs>
        <w:ind w:left="648" w:hanging="648"/>
      </w:pPr>
      <w:r>
        <w:rPr>
          <w:b/>
        </w:rPr>
        <w:t>5.5.3</w:t>
        <w:tab/>
      </w:r>
      <w:r>
        <w:rPr>
          <w:b w:val="0"/>
        </w:rPr>
        <w:t>Control checks the review must confirm before signature:</w:t>
      </w:r>
    </w:p>
    <w:p>
      <w:pPr>
        <w:pStyle w:val="ListBullet"/>
        <w:spacing w:after="40"/>
        <w:ind w:left="1008" w:hanging="259"/>
      </w:pPr>
      <w:r>
        <w:rPr>
          <w:b w:val="0"/>
        </w:rPr>
        <w:t>monitoring, audit and inspection access with direct access to source, and inspection notice consistent with SOP-13</w:t>
      </w:r>
    </w:p>
    <w:p>
      <w:pPr>
        <w:pStyle w:val="ListBullet"/>
        <w:spacing w:after="40"/>
        <w:ind w:left="1008" w:hanging="259"/>
      </w:pPr>
      <w:r>
        <w:rPr>
          <w:b w:val="0"/>
        </w:rPr>
        <w:t>record retention meets 21 CFR 312.62(c) or 812.140(d) and any longer sponsor period, states who pays for storage, and requires sponsor notice before destruction (SOP-12)</w:t>
      </w:r>
    </w:p>
    <w:p>
      <w:pPr>
        <w:pStyle w:val="ListBullet"/>
        <w:spacing w:after="40"/>
        <w:ind w:left="1008" w:hanging="259"/>
      </w:pPr>
      <w:r>
        <w:rPr>
          <w:b w:val="0"/>
        </w:rPr>
        <w:t>participant data go to the sponsor under the consent form's HIPAA authorization; whether a BAA is appropriate is decided under SOP-12</w:t>
      </w:r>
    </w:p>
    <w:p>
      <w:pPr>
        <w:pStyle w:val="ListBullet"/>
        <w:spacing w:after="40"/>
        <w:ind w:left="1008" w:hanging="259"/>
      </w:pPr>
      <w:r>
        <w:rPr>
          <w:b w:val="0"/>
        </w:rPr>
        <w:t>the CTA states who submits IND safety reports to the IRB: the sponsor on the investigator's behalf, with written confirmation to the site of each submission, or the site (SOP-09)</w:t>
      </w:r>
    </w:p>
    <w:p>
      <w:pPr>
        <w:pStyle w:val="ListBullet"/>
        <w:spacing w:after="40"/>
        <w:ind w:left="1008" w:hanging="259"/>
      </w:pPr>
      <w:r>
        <w:rPr>
          <w:b w:val="0"/>
        </w:rPr>
        <w:t>investigator financial disclosure under 21 CFR 54, updated during the study and for one year after completion</w:t>
      </w:r>
    </w:p>
    <w:p>
      <w:pPr>
        <w:pStyle w:val="ListBullet"/>
        <w:spacing w:after="40"/>
        <w:ind w:left="1008" w:hanging="259"/>
      </w:pPr>
      <w:r>
        <w:rPr>
          <w:b w:val="0"/>
        </w:rPr>
        <w:t>participants may receive follow-up care for their safety after termination</w:t>
      </w:r>
    </w:p>
    <w:p>
      <w:pPr>
        <w:tabs>
          <w:tab w:pos="648" w:val="left"/>
        </w:tabs>
        <w:ind w:left="648" w:hanging="648"/>
      </w:pPr>
      <w:r>
        <w:rPr>
          <w:b/>
        </w:rPr>
        <w:t>5.5.4</w:t>
        <w:tab/>
      </w:r>
      <w:r>
        <w:rPr>
          <w:b w:val="0"/>
        </w:rPr>
        <w:t xml:space="preserve">The PI reviews investigator obligations (protocol compliance, publication, records, financial disclosure) and confirms acceptance in </w:t>
      </w:r>
      <w:r>
        <w:rPr>
          <w:b w:val="0"/>
          <w:highlight w:val="yellow"/>
        </w:rPr>
        <w:t>[CONTRACT TRACKER]</w:t>
      </w:r>
      <w:r>
        <w:rPr>
          <w:b w:val="0"/>
        </w:rPr>
        <w:t xml:space="preserve"> or by email.</w:t>
      </w:r>
    </w:p>
    <w:p>
      <w:pPr>
        <w:tabs>
          <w:tab w:pos="648" w:val="left"/>
        </w:tabs>
        <w:ind w:left="648" w:hanging="648"/>
      </w:pPr>
      <w:r>
        <w:rPr>
          <w:b/>
        </w:rPr>
        <w:t>5.5.5</w:t>
        <w:tab/>
      </w:r>
      <w:r>
        <w:rPr>
          <w:b w:val="0"/>
        </w:rPr>
        <w:t>Before signature, the Finance / Contracts Lead confirms that subject injury, confidentiality, data use, participant payment and cost language in the CTA matches the consent form. Injury care the sponsor agrees to pay is billed to the sponsor, not Medicare (Medicare Secondary Payer rules). Any mismatch is resolved by changing the CTA, the consent form (SOP-03) or both.</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Name the owner of </w:t>
            </w:r>
            <w:r>
              <w:rPr>
                <w:b w:val="0"/>
                <w:sz w:val="20"/>
                <w:highlight w:val="yellow"/>
              </w:rPr>
              <w:t>[CONTRACT PLAYBOOK]</w:t>
            </w:r>
            <w:r>
              <w:rPr>
                <w:b w:val="0"/>
                <w:sz w:val="20"/>
              </w:rPr>
              <w:t xml:space="preserve"> and the limits within which the Finance / Contracts Lead may close terms without escalation (for example minimum insurance, maximum publication delay, maximum holdback). Record here: </w:t>
            </w:r>
            <w:r>
              <w:rPr>
                <w:b w:val="0"/>
                <w:sz w:val="20"/>
                <w:highlight w:val="yellow"/>
              </w:rPr>
              <w:t>[CONTRACT PLAYBOOK OWNER AND ESCALATION LIMITS]</w:t>
            </w:r>
            <w:r>
              <w:rPr>
                <w:b w:val="0"/>
                <w:sz w:val="20"/>
              </w:rPr>
              <w:t>.</w:t>
            </w:r>
          </w:p>
        </w:tc>
      </w:tr>
    </w:tbl>
    <w:p>
      <w:pPr>
        <w:spacing w:after="0"/>
      </w:pPr>
    </w:p>
    <w:p>
      <w:pPr>
        <w:pStyle w:val="Heading2"/>
      </w:pPr>
      <w:r>
        <w:t>5.6 Budget</w:t>
      </w:r>
    </w:p>
    <w:p>
      <w:pPr>
        <w:tabs>
          <w:tab w:pos="648" w:val="left"/>
        </w:tabs>
        <w:ind w:left="648" w:hanging="648"/>
      </w:pPr>
      <w:r>
        <w:rPr>
          <w:b/>
        </w:rPr>
        <w:t>5.6.1</w:t>
        <w:tab/>
      </w:r>
      <w:r>
        <w:rPr>
          <w:b w:val="0"/>
        </w:rPr>
        <w:t xml:space="preserve">The Finance / Contracts Lead and Lead CRC build the budget from the final protocol schedule of assessments before looking at the sponsor's offer. For each visit they list every procedure with its site cost or research rate, staff minutes at loaded hourly rates, and its CA designation (5.9). Fixed and invoiceable fees are added from the list on F-201-01. Overhead is applied at </w:t>
      </w:r>
      <w:r>
        <w:rPr>
          <w:b w:val="0"/>
          <w:highlight w:val="yellow"/>
        </w:rPr>
        <w:t>[OVERHEAD RATE]</w:t>
      </w:r>
      <w:r>
        <w:rPr>
          <w:b w:val="0"/>
        </w:rPr>
        <w:t xml:space="preserve"> percent of direct costs, or built into fee lines.</w:t>
      </w:r>
    </w:p>
    <w:p>
      <w:pPr>
        <w:tabs>
          <w:tab w:pos="648" w:val="left"/>
        </w:tabs>
        <w:ind w:left="648" w:hanging="648"/>
      </w:pPr>
      <w:r>
        <w:rPr>
          <w:b/>
        </w:rPr>
        <w:t>5.6.2</w:t>
        <w:tab/>
      </w:r>
      <w:r>
        <w:rPr>
          <w:b w:val="0"/>
        </w:rPr>
        <w:t xml:space="preserve">The Finance / Contracts Lead compares the build with the sponsor offer line by line, records gaps on F-201-01 and prepares a counter-proposal using </w:t>
      </w:r>
      <w:r>
        <w:rPr>
          <w:b w:val="0"/>
          <w:highlight w:val="yellow"/>
        </w:rPr>
        <w:t>[CONTRACT PLAYBOOK]</w:t>
      </w:r>
      <w:r>
        <w:rPr>
          <w:b w:val="0"/>
        </w:rPr>
        <w:t>.</w:t>
      </w:r>
    </w:p>
    <w:p>
      <w:pPr>
        <w:tabs>
          <w:tab w:pos="648" w:val="left"/>
        </w:tabs>
        <w:ind w:left="648" w:hanging="648"/>
      </w:pPr>
      <w:r>
        <w:rPr>
          <w:b/>
        </w:rPr>
        <w:t>5.6.3</w:t>
        <w:tab/>
      </w:r>
      <w:r>
        <w:rPr>
          <w:b w:val="0"/>
        </w:rPr>
        <w:t>Every S item is paid in the budget, and no R item is also in the budget. The PI or Lead CRC confirms the final budget covers every protocol procedure and realistic staff time. The Site Director approves the final budget on F-201-01 before the CTA is signed.</w:t>
      </w:r>
    </w:p>
    <w:p>
      <w:pPr>
        <w:tabs>
          <w:tab w:pos="648" w:val="left"/>
        </w:tabs>
        <w:ind w:left="648" w:hanging="648"/>
      </w:pPr>
      <w:r>
        <w:rPr>
          <w:b/>
        </w:rPr>
        <w:t>5.6.4</w:t>
        <w:tab/>
      </w:r>
      <w:r>
        <w:rPr>
          <w:b w:val="0"/>
        </w:rPr>
        <w:t>When a protocol amendment changes visits or procedures, the Lead CRC tells the Finance / Contracts Lead, who requests a budget amendment before the new procedures start where the timeline allows and updates the CA (5.9.6). CTA amendments follow 5.5 to 5.7.</w:t>
      </w:r>
    </w:p>
    <w:p>
      <w:pPr>
        <w:pStyle w:val="Heading2"/>
      </w:pPr>
      <w:r>
        <w:t>5.7 Signature, execution and filing</w:t>
      </w:r>
    </w:p>
    <w:p>
      <w:pPr>
        <w:tabs>
          <w:tab w:pos="648" w:val="left"/>
        </w:tabs>
        <w:ind w:left="648" w:hanging="648"/>
      </w:pPr>
      <w:r>
        <w:rPr>
          <w:b/>
        </w:rPr>
        <w:t>5.7.1</w:t>
        <w:tab/>
      </w:r>
      <w:r>
        <w:rPr>
          <w:b w:val="0"/>
        </w:rPr>
        <w:t xml:space="preserve">Only </w:t>
      </w:r>
      <w:r>
        <w:rPr>
          <w:b w:val="0"/>
          <w:highlight w:val="yellow"/>
        </w:rPr>
        <w:t>[AUTHORIZED SIGNATORIES]</w:t>
      </w:r>
      <w:r>
        <w:rPr>
          <w:b w:val="0"/>
        </w:rPr>
        <w:t xml:space="preserve"> sign agreements for </w:t>
      </w:r>
      <w:r>
        <w:rPr>
          <w:b w:val="0"/>
          <w:highlight w:val="yellow"/>
        </w:rPr>
        <w:t>[SITE NAME]</w:t>
      </w:r>
      <w:r>
        <w:rPr>
          <w:b w:val="0"/>
        </w:rPr>
        <w:t xml:space="preserve">, within the limits in </w:t>
      </w:r>
      <w:r>
        <w:rPr>
          <w:b w:val="0"/>
          <w:highlight w:val="yellow"/>
        </w:rPr>
        <w:t>[SIGNATURE AUTHORITY POLICY]</w:t>
      </w:r>
      <w:r>
        <w:rPr>
          <w:b w:val="0"/>
        </w:rPr>
        <w:t>. The PI signs as investigator only where the agreement requires it. Other staff do not sign CDAs, CTAs or budgets. Electronic signatures are acceptable.</w:t>
      </w:r>
    </w:p>
    <w:p>
      <w:pPr>
        <w:tabs>
          <w:tab w:pos="648" w:val="left"/>
        </w:tabs>
        <w:ind w:left="648" w:hanging="648"/>
      </w:pPr>
      <w:r>
        <w:rPr>
          <w:b/>
        </w:rPr>
        <w:t>5.7.2</w:t>
        <w:tab/>
      </w:r>
      <w:r>
        <w:rPr>
          <w:b w:val="0"/>
        </w:rPr>
        <w:t xml:space="preserve">The Finance / Contracts Lead sends the fully executed CTA and budget to the Regulatory Coordinator, Site Director and PI, and records the execution date in </w:t>
      </w:r>
      <w:r>
        <w:rPr>
          <w:b w:val="0"/>
          <w:highlight w:val="yellow"/>
        </w:rPr>
        <w:t>[CONTRACT TRACKER]</w:t>
      </w:r>
      <w:r>
        <w:rPr>
          <w:b w:val="0"/>
        </w:rPr>
        <w:t>.</w:t>
      </w:r>
    </w:p>
    <w:p>
      <w:pPr>
        <w:tabs>
          <w:tab w:pos="648" w:val="left"/>
        </w:tabs>
        <w:ind w:left="648" w:hanging="648"/>
      </w:pPr>
      <w:r>
        <w:rPr>
          <w:b/>
        </w:rPr>
        <w:t>5.7.3</w:t>
        <w:tab/>
      </w:r>
      <w:r>
        <w:rPr>
          <w:b w:val="0"/>
        </w:rPr>
        <w:t>The Finance / Contracts Lead records CTA and budget execution on F-205-01 (SOP-03). The Regulatory Coordinator files the executed CTA, budget, insurance certificate and amendments in the ISF. No study procedure starts before execution.</w:t>
      </w:r>
    </w:p>
    <w:p>
      <w:pPr>
        <w:tabs>
          <w:tab w:pos="648" w:val="left"/>
        </w:tabs>
        <w:ind w:left="648" w:hanging="648"/>
      </w:pPr>
      <w:r>
        <w:rPr>
          <w:b/>
        </w:rPr>
        <w:t>5.7.4</w:t>
        <w:tab/>
      </w:r>
      <w:r>
        <w:rPr>
          <w:b w:val="0"/>
        </w:rPr>
        <w:t xml:space="preserve">The Finance / Contracts Lead sets up the study in </w:t>
      </w:r>
      <w:r>
        <w:rPr>
          <w:b w:val="0"/>
          <w:highlight w:val="yellow"/>
        </w:rPr>
        <w:t>[ACCOUNTING SYSTEM]</w:t>
      </w:r>
      <w:r>
        <w:rPr>
          <w:b w:val="0"/>
        </w:rPr>
        <w:t xml:space="preserve"> with payment schedule, invoiceables, holdback and payee details.</w:t>
      </w:r>
    </w:p>
    <w:p>
      <w:pPr>
        <w:pStyle w:val="Heading2"/>
      </w:pPr>
      <w:r>
        <w:t>5.8 Invoicing and reconciliation</w:t>
      </w:r>
    </w:p>
    <w:p>
      <w:pPr>
        <w:tabs>
          <w:tab w:pos="648" w:val="left"/>
        </w:tabs>
        <w:ind w:left="648" w:hanging="648"/>
      </w:pPr>
      <w:r>
        <w:rPr>
          <w:b/>
        </w:rPr>
        <w:t>5.8.1</w:t>
        <w:tab/>
      </w:r>
      <w:r>
        <w:rPr>
          <w:b w:val="0"/>
        </w:rPr>
        <w:t xml:space="preserve">The Lead CRC reports each invoiceable event to the Finance / Contracts Lead within </w:t>
      </w:r>
      <w:r>
        <w:rPr>
          <w:b w:val="0"/>
          <w:highlight w:val="green"/>
        </w:rPr>
        <w:t>[DEFAULT: 5 business days]</w:t>
      </w:r>
      <w:r>
        <w:rPr>
          <w:b w:val="0"/>
        </w:rPr>
        <w:t>, with support from visit logs, F-303-01 or F-501-01.</w:t>
      </w:r>
    </w:p>
    <w:p>
      <w:pPr>
        <w:tabs>
          <w:tab w:pos="648" w:val="left"/>
        </w:tabs>
        <w:ind w:left="648" w:hanging="648"/>
      </w:pPr>
      <w:r>
        <w:rPr>
          <w:b/>
        </w:rPr>
        <w:t>5.8.2</w:t>
        <w:tab/>
      </w:r>
      <w:r>
        <w:rPr>
          <w:b w:val="0"/>
        </w:rPr>
        <w:t xml:space="preserve">The Finance / Contracts Lead invoices per the CTA, keeps the support with each invoice and tracks it until paid. Amounts unpaid at the CTA payment term plus </w:t>
      </w:r>
      <w:r>
        <w:rPr>
          <w:b w:val="0"/>
          <w:highlight w:val="green"/>
        </w:rPr>
        <w:t>[DEFAULT: 30 days]</w:t>
      </w:r>
      <w:r>
        <w:rPr>
          <w:b w:val="0"/>
        </w:rPr>
        <w:t xml:space="preserve"> are followed up and escalated to the Site Director.</w:t>
      </w:r>
    </w:p>
    <w:p>
      <w:pPr>
        <w:tabs>
          <w:tab w:pos="648" w:val="left"/>
        </w:tabs>
        <w:ind w:left="648" w:hanging="648"/>
      </w:pPr>
      <w:r>
        <w:rPr>
          <w:b/>
        </w:rPr>
        <w:t>5.8.3</w:t>
        <w:tab/>
      </w:r>
      <w:r>
        <w:rPr>
          <w:b w:val="0"/>
        </w:rPr>
        <w:t>When each sponsor payment or remittance arrives, the Finance / Contracts Lead reconciles it against completed visits, invoices, holdback and participant payment reimbursements (SOP-10), and checks that no item paid by the sponsor was also billed to an insurer.</w:t>
      </w:r>
    </w:p>
    <w:p>
      <w:pPr>
        <w:tabs>
          <w:tab w:pos="648" w:val="left"/>
        </w:tabs>
        <w:ind w:left="648" w:hanging="648"/>
      </w:pPr>
      <w:r>
        <w:rPr>
          <w:b/>
        </w:rPr>
        <w:t>5.8.4</w:t>
        <w:tab/>
      </w:r>
      <w:r>
        <w:rPr>
          <w:b w:val="0"/>
        </w:rPr>
        <w:t>At closeout, the Finance / Contracts Lead completes a final reconciliation, invoices closeout and archiving fees, requests holdback release and records the financial status on F-601-01 (SOP-15).</w:t>
      </w:r>
    </w:p>
    <w:p>
      <w:pPr>
        <w:pStyle w:val="Heading2"/>
      </w:pPr>
      <w:r>
        <w:t>5.9 Research billing and coverage analysis</w:t>
      </w:r>
    </w:p>
    <w:p>
      <w:pPr>
        <w:tabs>
          <w:tab w:pos="648" w:val="left"/>
        </w:tabs>
        <w:ind w:left="648" w:hanging="648"/>
      </w:pPr>
      <w:r>
        <w:rPr>
          <w:b/>
        </w:rPr>
        <w:t>5.9.1</w:t>
        <w:tab/>
      </w:r>
      <w:r>
        <w:rPr>
          <w:b w:val="0"/>
        </w:rPr>
        <w:t>At Tier 2 feasibility, the Site Director records on F-202-01 whether any study item could be billed to an insurer or participant.</w:t>
      </w:r>
    </w:p>
    <w:p>
      <w:pPr>
        <w:tabs>
          <w:tab w:pos="648" w:val="left"/>
        </w:tabs>
        <w:ind w:left="648" w:hanging="648"/>
      </w:pPr>
      <w:r>
        <w:rPr>
          <w:b/>
        </w:rPr>
        <w:t>5.9.2</w:t>
        <w:tab/>
      </w:r>
      <w:r>
        <w:rPr>
          <w:b w:val="0"/>
        </w:rPr>
        <w:t>No-billing studies. The Finance / Contracts Lead records the no-billing attestation on F-205-01 and confirms that injury-care language matches the CTA; participant flagging and the no-claim checks follow SOP-03, 5.10.5, and the check is also made at each reconciliation (5.8.3). Non-study care on the same day is documented separately and billed normally.</w:t>
      </w:r>
    </w:p>
    <w:p>
      <w:pPr>
        <w:tabs>
          <w:tab w:pos="648" w:val="left"/>
        </w:tabs>
        <w:ind w:left="648" w:hanging="648"/>
      </w:pPr>
      <w:r>
        <w:rPr>
          <w:b/>
        </w:rPr>
        <w:t>5.9.3</w:t>
        <w:tab/>
      </w:r>
      <w:r>
        <w:rPr>
          <w:b w:val="0"/>
        </w:rPr>
        <w:t>Billing studies. The Finance / Contracts Lead completes the full CA on F-202-01 from the final protocol, consent form, draft CTA and budget, IND or IDE documents and NCT number:</w:t>
      </w:r>
    </w:p>
    <w:p>
      <w:pPr>
        <w:pStyle w:val="ListBullet"/>
        <w:spacing w:after="40"/>
        <w:ind w:left="1008" w:hanging="259"/>
      </w:pPr>
      <w:r>
        <w:rPr>
          <w:b w:val="0"/>
        </w:rPr>
        <w:t>drugs and biologics: record whether the study meets NCD 310.1 (Medicare benefit category, therapeutic intent, enrolls diagnosed participants) and is deemed qualifying (federally funded, under an FDA-reviewed IND, or IND-exempt under 21 CFR 312.2(b)(1)); if not, nothing in the study is billed to Medicare as a trial routine cost</w:t>
      </w:r>
    </w:p>
    <w:p>
      <w:pPr>
        <w:pStyle w:val="ListBullet"/>
        <w:spacing w:after="40"/>
        <w:ind w:left="1008" w:hanging="259"/>
      </w:pPr>
      <w:r>
        <w:rPr>
          <w:b w:val="0"/>
        </w:rPr>
        <w:t>IDE devices: record category A or B and file the CMS approval letter (42 CFR 405 Subpart B); without CMS approval nothing is billed to Medicare; with approval, Category A allows routine care only and Category B allows routine care and the device unless the sponsor provides or reimburses it</w:t>
      </w:r>
    </w:p>
    <w:p>
      <w:pPr>
        <w:pStyle w:val="ListBullet"/>
        <w:spacing w:after="40"/>
        <w:ind w:left="1008" w:hanging="259"/>
      </w:pPr>
      <w:r>
        <w:rPr>
          <w:b w:val="0"/>
        </w:rPr>
        <w:t>each item at each visit: standard of care basis, sponsor payment, and designation S, R or N; the investigational item, research-only items and anything the sponsor pays or provides free are never billed</w:t>
      </w:r>
    </w:p>
    <w:p>
      <w:pPr>
        <w:tabs>
          <w:tab w:pos="648" w:val="left"/>
        </w:tabs>
        <w:ind w:left="648" w:hanging="648"/>
      </w:pPr>
      <w:r>
        <w:rPr>
          <w:b/>
        </w:rPr>
        <w:t>5.9.4</w:t>
        <w:tab/>
      </w:r>
      <w:r>
        <w:rPr>
          <w:b w:val="0"/>
        </w:rPr>
        <w:t>The PI confirms each R item is medically necessary at that frequency absent the study and signs F-202-01. The Site Director approves the CA before the budget is final.</w:t>
      </w:r>
    </w:p>
    <w:p>
      <w:pPr>
        <w:tabs>
          <w:tab w:pos="648" w:val="left"/>
        </w:tabs>
        <w:ind w:left="648" w:hanging="648"/>
      </w:pPr>
      <w:r>
        <w:rPr>
          <w:b/>
        </w:rPr>
        <w:t>5.9.5</w:t>
        <w:tab/>
      </w:r>
      <w:r>
        <w:rPr>
          <w:b w:val="0"/>
        </w:rPr>
        <w:t>Before activation, the Finance / Contracts Lead confirms on F-202-01 that the CA, budget, CTA, consent form costs section and billing grid agree, and resolves any mismatch. The approved CA is recorded on F-205-01 (SOP-03, 5.10.5).</w:t>
      </w:r>
    </w:p>
    <w:p>
      <w:pPr>
        <w:tabs>
          <w:tab w:pos="648" w:val="left"/>
        </w:tabs>
        <w:ind w:left="648" w:hanging="648"/>
      </w:pPr>
      <w:r>
        <w:rPr>
          <w:b/>
        </w:rPr>
        <w:t>5.9.6</w:t>
        <w:tab/>
      </w:r>
      <w:r>
        <w:rPr>
          <w:b w:val="0"/>
        </w:rPr>
        <w:t>The Finance / Contracts Lead issues the versioned billing grid to the Lead CRC and billing staff before the first participant visit, and updates the CA and grid for every amendment that changes visits, procedures or budget, with PI and Site Director re-approval.</w:t>
      </w:r>
    </w:p>
    <w:p>
      <w:pPr>
        <w:tabs>
          <w:tab w:pos="648" w:val="left"/>
        </w:tabs>
        <w:ind w:left="648" w:hanging="648"/>
      </w:pPr>
      <w:r>
        <w:rPr>
          <w:b/>
        </w:rPr>
        <w:t>5.9.7</w:t>
        <w:tab/>
      </w:r>
      <w:r>
        <w:rPr>
          <w:b w:val="0"/>
        </w:rPr>
        <w:t xml:space="preserve">At consent, the Lead CRC flags the participant's account with study name and NCT number, which places all claims on hold. For each study visit, the Lead CRC marks each service S, R or N on the charge form and sends it to billing within </w:t>
      </w:r>
      <w:r>
        <w:rPr>
          <w:b w:val="0"/>
          <w:highlight w:val="green"/>
        </w:rPr>
        <w:t>[DEFAULT: 2 business days]</w:t>
      </w:r>
      <w:r>
        <w:rPr>
          <w:b w:val="0"/>
        </w:rPr>
        <w:t>.</w:t>
      </w:r>
    </w:p>
    <w:p>
      <w:pPr>
        <w:tabs>
          <w:tab w:pos="648" w:val="left"/>
        </w:tabs>
        <w:ind w:left="648" w:hanging="648"/>
      </w:pPr>
      <w:r>
        <w:rPr>
          <w:b/>
        </w:rPr>
        <w:t>5.9.8</w:t>
        <w:tab/>
      </w:r>
      <w:r>
        <w:rPr>
          <w:b w:val="0"/>
        </w:rPr>
        <w:t>Billing staff code R items as current CMS and MAC instructions require: Q1 modifier on routine services and Q0 on billable investigational services; ICD-10-CM Z00.6 as secondary diagnosis for qualifying trials; condition code 30 on institutional claims; the NCT number (value code D4 on institutional claims; 837P loop 2300 REF qualifier P4 or item 19 with prefix CT on professional claims); the IDE number for device studies. S and N items never appear on a claim or participant statement.</w:t>
      </w:r>
    </w:p>
    <w:p>
      <w:pPr>
        <w:tabs>
          <w:tab w:pos="648" w:val="left"/>
        </w:tabs>
        <w:ind w:left="648" w:hanging="648"/>
      </w:pPr>
      <w:r>
        <w:rPr>
          <w:b/>
        </w:rPr>
        <w:t>5.9.9</w:t>
        <w:tab/>
      </w:r>
      <w:r>
        <w:rPr>
          <w:b w:val="0"/>
        </w:rPr>
        <w:t xml:space="preserve">The Finance / Contracts Lead or a trained reviewer compares each held claim with the grid, visit documentation and participant status before release, and records the review in </w:t>
      </w:r>
      <w:r>
        <w:rPr>
          <w:b w:val="0"/>
          <w:highlight w:val="yellow"/>
        </w:rPr>
        <w:t>[CLAIM REVIEW LOG]</w:t>
      </w:r>
      <w:r>
        <w:rPr>
          <w:b w:val="0"/>
        </w:rPr>
        <w:t>.</w:t>
      </w:r>
    </w:p>
    <w:p>
      <w:pPr>
        <w:tabs>
          <w:tab w:pos="648" w:val="left"/>
        </w:tabs>
        <w:ind w:left="648" w:hanging="648"/>
      </w:pPr>
      <w:r>
        <w:rPr>
          <w:b/>
        </w:rPr>
        <w:t>5.9.10</w:t>
        <w:tab/>
      </w:r>
      <w:r>
        <w:rPr>
          <w:b w:val="0"/>
        </w:rPr>
        <w:t>Before the first billable visit, the Finance / Contracts Lead checks commercial plan and Medicaid requirements (42 U.S.C. 300gg-8; 42 U.S.C. 1396d(gg); state law) and the current CMS instruction for Medicare Advantage enrollees, and records the result on F-202-01.</w:t>
      </w:r>
    </w:p>
    <w:p>
      <w:pPr>
        <w:tabs>
          <w:tab w:pos="648" w:val="left"/>
        </w:tabs>
        <w:ind w:left="648" w:hanging="648"/>
      </w:pPr>
      <w:r>
        <w:rPr>
          <w:b/>
        </w:rPr>
        <w:t>5.9.11</w:t>
        <w:tab/>
      </w:r>
      <w:r>
        <w:rPr>
          <w:b w:val="0"/>
        </w:rPr>
        <w:t xml:space="preserve">If a sponsor-paid or research-only item was billed, the Finance / Contracts Lead corrects or voids the claim, refunds the payer or participant, opens a documented investigation and a CAPA under SOP-08, and tells the Site Director, who consults </w:t>
      </w:r>
      <w:r>
        <w:rPr>
          <w:b w:val="0"/>
          <w:highlight w:val="yellow"/>
        </w:rPr>
        <w:t>[LEGAL COUNSEL]</w:t>
      </w:r>
      <w:r>
        <w:rPr>
          <w:b w:val="0"/>
        </w:rPr>
        <w:t>. Medicare overpayments are reported and returned within 60 days of being identified; under 42 CFR 401.305(b)(3) as amended effective 1 January 2025, the deadline is suspended during a timely, good-faith investigation of related overpayments, until it ends or 180 days after identification, whichever is earlier. Counsel confirms when an overpayment counts as identified.</w:t>
      </w:r>
    </w:p>
    <w:p>
      <w:pPr>
        <w:tabs>
          <w:tab w:pos="648" w:val="left"/>
        </w:tabs>
        <w:ind w:left="648" w:hanging="648"/>
      </w:pPr>
      <w:r>
        <w:rPr>
          <w:b/>
        </w:rPr>
        <w:t>5.9.12</w:t>
        <w:tab/>
      </w:r>
      <w:r>
        <w:rPr>
          <w:b w:val="0"/>
        </w:rPr>
        <w:t xml:space="preserve">In any year the site billed insurance for study items, the annual internal audit (SOP-14) includes a sample of </w:t>
      </w:r>
      <w:r>
        <w:rPr>
          <w:b w:val="0"/>
          <w:highlight w:val="green"/>
        </w:rPr>
        <w:t>[DEFAULT: 10 research claims or 10%, whichever is greater]</w:t>
      </w:r>
      <w:r>
        <w:rPr>
          <w:b w:val="0"/>
        </w:rPr>
        <w:t xml:space="preserve"> compared with the grid, visit documentation and sponsor payments.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w:t>
            </w:r>
            <w:r>
              <w:rPr>
                <w:b w:val="0"/>
                <w:sz w:val="20"/>
                <w:highlight w:val="yellow"/>
              </w:rPr>
              <w:t>[SITE NAME]</w:t>
            </w:r>
            <w:r>
              <w:rPr>
                <w:b w:val="0"/>
                <w:sz w:val="20"/>
              </w:rPr>
              <w:t xml:space="preserve"> bills any insurer or participant for study items, and if so whether coverage analyses are prepared in house or by </w:t>
            </w:r>
            <w:r>
              <w:rPr>
                <w:b w:val="0"/>
                <w:sz w:val="20"/>
                <w:highlight w:val="yellow"/>
              </w:rPr>
              <w:t>[CA VENDOR]</w:t>
            </w:r>
            <w:r>
              <w:rPr>
                <w:b w:val="0"/>
                <w:sz w:val="20"/>
              </w:rPr>
              <w:t xml:space="preserve"> (overseen under SOP-M1). Record here: </w:t>
            </w:r>
            <w:r>
              <w:rPr>
                <w:b w:val="0"/>
                <w:sz w:val="20"/>
                <w:highlight w:val="yellow"/>
              </w:rPr>
              <w:t>[RESEARCH BILLING DECISION]</w:t>
            </w:r>
            <w:r>
              <w:rPr>
                <w:b w:val="0"/>
                <w:sz w:val="20"/>
              </w:rPr>
              <w:t>.</w:t>
            </w:r>
          </w:p>
        </w:tc>
      </w:tr>
    </w:tbl>
    <w:p>
      <w:pPr>
        <w:spacing w:after="0"/>
      </w:pPr>
    </w:p>
    <w:p>
      <w:pPr>
        <w:pStyle w:val="Heading2"/>
      </w:pPr>
      <w:r>
        <w:t>5.10 Records</w:t>
      </w:r>
    </w:p>
    <w:p>
      <w:pPr>
        <w:tabs>
          <w:tab w:pos="648" w:val="left"/>
        </w:tabs>
        <w:ind w:left="648" w:hanging="648"/>
      </w:pPr>
      <w:r>
        <w:rPr>
          <w:b/>
        </w:rPr>
        <w:t>5.10.1</w:t>
        <w:tab/>
      </w:r>
      <w:r>
        <w:rPr>
          <w:b w:val="0"/>
        </w:rPr>
        <w:t xml:space="preserve">F-200-01, query outputs (aggregate only), questionnaires and decision records are kept in </w:t>
      </w:r>
      <w:r>
        <w:rPr>
          <w:b w:val="0"/>
          <w:highlight w:val="yellow"/>
        </w:rPr>
        <w:t>[CONTRACTS FOLDER]</w:t>
      </w:r>
      <w:r>
        <w:rPr>
          <w:b w:val="0"/>
        </w:rPr>
        <w:t xml:space="preserve">. F-200-01 is not filed in the ISF or given to a sponsor because it holds other sponsors' information and the site's financial view. Only the sponsor's own questionnaire responses and the go decision go to the ISF. Records for declined studies are kept </w:t>
      </w:r>
      <w:r>
        <w:rPr>
          <w:b w:val="0"/>
          <w:highlight w:val="green"/>
        </w:rPr>
        <w:t>[DEFAULT: 3 years]</w:t>
      </w:r>
      <w:r>
        <w:rPr>
          <w:b w:val="0"/>
        </w:rPr>
        <w:t>.</w:t>
      </w:r>
    </w:p>
    <w:p>
      <w:pPr>
        <w:tabs>
          <w:tab w:pos="648" w:val="left"/>
        </w:tabs>
        <w:ind w:left="648" w:hanging="648"/>
      </w:pPr>
      <w:r>
        <w:rPr>
          <w:b/>
        </w:rPr>
        <w:t>5.10.2</w:t>
        <w:tab/>
      </w:r>
      <w:r>
        <w:rPr>
          <w:b w:val="0"/>
        </w:rPr>
        <w:t xml:space="preserve">Contract versions and budget builds stay in </w:t>
      </w:r>
      <w:r>
        <w:rPr>
          <w:b w:val="0"/>
          <w:highlight w:val="yellow"/>
        </w:rPr>
        <w:t>[CONTRACTS FOLDER]</w:t>
      </w:r>
      <w:r>
        <w:rPr>
          <w:b w:val="0"/>
        </w:rPr>
        <w:t>; executed agreements are also filed in the ISF (5.7.3).</w:t>
      </w:r>
    </w:p>
    <w:p>
      <w:pPr>
        <w:tabs>
          <w:tab w:pos="648" w:val="left"/>
        </w:tabs>
        <w:ind w:left="648" w:hanging="648"/>
      </w:pPr>
      <w:r>
        <w:rPr>
          <w:b/>
        </w:rPr>
        <w:t>5.10.3</w:t>
        <w:tab/>
      </w:r>
      <w:r>
        <w:rPr>
          <w:b w:val="0"/>
        </w:rPr>
        <w:t xml:space="preserve">The approved F-202-01, each billing grid version, CMS IDE approval letters and claim review records are filed in the ISF or </w:t>
      </w:r>
      <w:r>
        <w:rPr>
          <w:b w:val="0"/>
          <w:highlight w:val="yellow"/>
        </w:rPr>
        <w:t>[BILLING COMPLIANCE FOLDER]</w:t>
      </w:r>
      <w:r>
        <w:rPr>
          <w:b w:val="0"/>
        </w:rPr>
        <w:t xml:space="preserve"> with a pointer on F-204-01. Billing records are kept for the longer of the study retention period (SOP-12) and </w:t>
      </w:r>
      <w:r>
        <w:rPr>
          <w:b w:val="0"/>
          <w:highlight w:val="green"/>
        </w:rPr>
        <w:t>[DEFAULT: 10 years]</w:t>
      </w:r>
      <w:r>
        <w:rPr>
          <w:b w:val="0"/>
        </w:rPr>
        <w:t>, a site choice set to cover the False Claims Act limitations period (31 U.S.C. 3731(b)).</w:t>
      </w:r>
    </w:p>
    <w:p>
      <w:pPr>
        <w:pStyle w:val="Heading1"/>
      </w:pPr>
      <w:r>
        <w:t>6. Related Forms and SOPs</w:t>
      </w:r>
    </w:p>
    <w:p>
      <w:pPr>
        <w:pStyle w:val="ListBullet"/>
        <w:spacing w:after="40"/>
        <w:ind w:left="360" w:hanging="259"/>
      </w:pPr>
      <w:r>
        <w:rPr>
          <w:b w:val="0"/>
        </w:rPr>
        <w:t>F-100-03 SOP Master Index and Review Schedule</w:t>
      </w:r>
    </w:p>
    <w:p>
      <w:pPr>
        <w:pStyle w:val="ListBullet"/>
        <w:spacing w:after="40"/>
        <w:ind w:left="360" w:hanging="259"/>
      </w:pPr>
      <w:r>
        <w:rPr>
          <w:b w:val="0"/>
        </w:rPr>
        <w:t>F-200-01 Study Feasibility Assessment</w:t>
      </w:r>
    </w:p>
    <w:p>
      <w:pPr>
        <w:pStyle w:val="ListBullet"/>
        <w:spacing w:after="40"/>
        <w:ind w:left="360" w:hanging="259"/>
      </w:pPr>
      <w:r>
        <w:rPr>
          <w:b w:val="0"/>
        </w:rPr>
        <w:t>F-201-01 Contract and Budget Review Checklist</w:t>
      </w:r>
    </w:p>
    <w:p>
      <w:pPr>
        <w:pStyle w:val="ListBullet"/>
        <w:spacing w:after="40"/>
        <w:ind w:left="360" w:hanging="259"/>
      </w:pPr>
      <w:r>
        <w:rPr>
          <w:b w:val="0"/>
        </w:rPr>
        <w:t>F-202-01 Coverage Analysis Worksheet</w:t>
      </w:r>
    </w:p>
    <w:p>
      <w:pPr>
        <w:pStyle w:val="ListBullet"/>
        <w:spacing w:after="40"/>
        <w:ind w:left="360" w:hanging="259"/>
      </w:pPr>
      <w:r>
        <w:rPr>
          <w:b w:val="0"/>
        </w:rPr>
        <w:t>F-204-01 Investigator Site File Index</w:t>
      </w:r>
    </w:p>
    <w:p>
      <w:pPr>
        <w:pStyle w:val="ListBullet"/>
        <w:spacing w:after="40"/>
        <w:ind w:left="360" w:hanging="259"/>
      </w:pPr>
      <w:r>
        <w:rPr>
          <w:b w:val="0"/>
        </w:rPr>
        <w:t>F-205-01 Study Activation Checklist</w:t>
      </w:r>
    </w:p>
    <w:p>
      <w:pPr>
        <w:pStyle w:val="ListBullet"/>
        <w:spacing w:after="40"/>
        <w:ind w:left="360" w:hanging="259"/>
      </w:pPr>
      <w:r>
        <w:rPr>
          <w:b w:val="0"/>
        </w:rPr>
        <w:t>F-303-01 Screening and Enrollment Log</w:t>
      </w:r>
    </w:p>
    <w:p>
      <w:pPr>
        <w:pStyle w:val="ListBullet"/>
        <w:spacing w:after="40"/>
        <w:ind w:left="360" w:hanging="259"/>
      </w:pPr>
      <w:r>
        <w:rPr>
          <w:b w:val="0"/>
        </w:rPr>
        <w:t>F-501-01 SAE Reporting Tracker</w:t>
      </w:r>
    </w:p>
    <w:p>
      <w:pPr>
        <w:pStyle w:val="ListBullet"/>
        <w:spacing w:after="40"/>
        <w:ind w:left="360" w:hanging="259"/>
      </w:pPr>
      <w:r>
        <w:rPr>
          <w:b w:val="0"/>
        </w:rPr>
        <w:t>F-601-01 Study Closeout Checklist</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SOP-M1 Service Providers and Vendors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Annex 1, 2.1 and 2.2</w:t>
            </w:r>
          </w:p>
        </w:tc>
        <w:tc>
          <w:tcPr>
            <w:tcW w:type="dxa" w:w="6946"/>
          </w:tcPr>
          <w:p>
            <w:pPr>
              <w:spacing w:after="0"/>
            </w:pPr>
            <w:r>
              <w:rPr>
                <w:b w:val="0"/>
                <w:sz w:val="19"/>
              </w:rPr>
              <w:t>Investigator qualifications and resources</w:t>
            </w:r>
          </w:p>
        </w:tc>
      </w:tr>
      <w:tr>
        <w:trPr>
          <w:cantSplit w:val="true"/>
        </w:trPr>
        <w:tc>
          <w:tcPr>
            <w:tcW w:type="dxa" w:w="2701"/>
          </w:tcPr>
          <w:p>
            <w:pPr>
              <w:spacing w:after="0"/>
            </w:pPr>
            <w:r>
              <w:rPr>
                <w:b w:val="0"/>
                <w:sz w:val="19"/>
              </w:rPr>
              <w:t>ICH E6(R3) Annex 1, 3.6 and 3.14</w:t>
            </w:r>
          </w:p>
        </w:tc>
        <w:tc>
          <w:tcPr>
            <w:tcW w:type="dxa" w:w="6946"/>
          </w:tcPr>
          <w:p>
            <w:pPr>
              <w:spacing w:after="0"/>
            </w:pPr>
            <w:r>
              <w:rPr>
                <w:b w:val="0"/>
                <w:sz w:val="19"/>
              </w:rPr>
              <w:t>Agreements; insurance, indemnification and compensation</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312.62 and 812.140</w:t>
            </w:r>
          </w:p>
        </w:tc>
        <w:tc>
          <w:tcPr>
            <w:tcW w:type="dxa" w:w="6946"/>
          </w:tcPr>
          <w:p>
            <w:pPr>
              <w:spacing w:after="0"/>
            </w:pPr>
            <w:r>
              <w:rPr>
                <w:b w:val="0"/>
                <w:sz w:val="19"/>
              </w:rPr>
              <w:t>Investigator records and retention</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45 CFR 164.508 and 164.512(i)</w:t>
            </w:r>
          </w:p>
        </w:tc>
        <w:tc>
          <w:tcPr>
            <w:tcW w:type="dxa" w:w="6946"/>
          </w:tcPr>
          <w:p>
            <w:pPr>
              <w:spacing w:after="0"/>
            </w:pPr>
            <w:r>
              <w:rPr>
                <w:b w:val="0"/>
                <w:sz w:val="19"/>
              </w:rPr>
              <w:t>HIPAA authorization; uses and disclosures for research</w:t>
            </w:r>
          </w:p>
        </w:tc>
      </w:tr>
      <w:tr>
        <w:trPr>
          <w:cantSplit w:val="true"/>
        </w:trPr>
        <w:tc>
          <w:tcPr>
            <w:tcW w:type="dxa" w:w="2701"/>
          </w:tcPr>
          <w:p>
            <w:pPr>
              <w:spacing w:after="0"/>
            </w:pPr>
            <w:r>
              <w:rPr>
                <w:b w:val="0"/>
                <w:sz w:val="19"/>
              </w:rPr>
              <w:t>CMS NCD 310.1</w:t>
            </w:r>
          </w:p>
        </w:tc>
        <w:tc>
          <w:tcPr>
            <w:tcW w:type="dxa" w:w="6946"/>
          </w:tcPr>
          <w:p>
            <w:pPr>
              <w:spacing w:after="0"/>
            </w:pPr>
            <w:r>
              <w:rPr>
                <w:b w:val="0"/>
                <w:sz w:val="19"/>
              </w:rPr>
              <w:t>Routine Costs in Clinical Trials</w:t>
            </w:r>
          </w:p>
        </w:tc>
      </w:tr>
      <w:tr>
        <w:trPr>
          <w:cantSplit w:val="true"/>
        </w:trPr>
        <w:tc>
          <w:tcPr>
            <w:tcW w:type="dxa" w:w="2701"/>
          </w:tcPr>
          <w:p>
            <w:pPr>
              <w:spacing w:after="0"/>
            </w:pPr>
            <w:r>
              <w:rPr>
                <w:b w:val="0"/>
                <w:sz w:val="19"/>
              </w:rPr>
              <w:t>42 CFR 405 Subpart B</w:t>
            </w:r>
          </w:p>
        </w:tc>
        <w:tc>
          <w:tcPr>
            <w:tcW w:type="dxa" w:w="6946"/>
          </w:tcPr>
          <w:p>
            <w:pPr>
              <w:spacing w:after="0"/>
            </w:pPr>
            <w:r>
              <w:rPr>
                <w:b w:val="0"/>
                <w:sz w:val="19"/>
              </w:rPr>
              <w:t>Coverage of IDE devices and routine care</w:t>
            </w:r>
          </w:p>
        </w:tc>
      </w:tr>
      <w:tr>
        <w:trPr>
          <w:cantSplit w:val="true"/>
        </w:trPr>
        <w:tc>
          <w:tcPr>
            <w:tcW w:type="dxa" w:w="2701"/>
          </w:tcPr>
          <w:p>
            <w:pPr>
              <w:spacing w:after="0"/>
            </w:pPr>
            <w:r>
              <w:rPr>
                <w:b w:val="0"/>
                <w:sz w:val="19"/>
              </w:rPr>
              <w:t>CMS Pub. 100-04, Chapter 32</w:t>
            </w:r>
          </w:p>
        </w:tc>
        <w:tc>
          <w:tcPr>
            <w:tcW w:type="dxa" w:w="6946"/>
          </w:tcPr>
          <w:p>
            <w:pPr>
              <w:spacing w:after="0"/>
            </w:pPr>
            <w:r>
              <w:rPr>
                <w:b w:val="0"/>
                <w:sz w:val="19"/>
              </w:rPr>
              <w:t>Medicare Claims Processing Manual: clinical trial and IDE billing</w:t>
            </w:r>
          </w:p>
        </w:tc>
      </w:tr>
      <w:tr>
        <w:trPr>
          <w:cantSplit w:val="true"/>
        </w:trPr>
        <w:tc>
          <w:tcPr>
            <w:tcW w:type="dxa" w:w="2701"/>
          </w:tcPr>
          <w:p>
            <w:pPr>
              <w:spacing w:after="0"/>
            </w:pPr>
            <w:r>
              <w:rPr>
                <w:b w:val="0"/>
                <w:sz w:val="19"/>
              </w:rPr>
              <w:t>42 U.S.C. 1395y(b)</w:t>
            </w:r>
          </w:p>
        </w:tc>
        <w:tc>
          <w:tcPr>
            <w:tcW w:type="dxa" w:w="6946"/>
          </w:tcPr>
          <w:p>
            <w:pPr>
              <w:spacing w:after="0"/>
            </w:pPr>
            <w:r>
              <w:rPr>
                <w:b w:val="0"/>
                <w:sz w:val="19"/>
              </w:rPr>
              <w:t>Medicare Secondary Payer</w:t>
            </w:r>
          </w:p>
        </w:tc>
      </w:tr>
      <w:tr>
        <w:trPr>
          <w:cantSplit w:val="true"/>
        </w:trPr>
        <w:tc>
          <w:tcPr>
            <w:tcW w:type="dxa" w:w="2701"/>
          </w:tcPr>
          <w:p>
            <w:pPr>
              <w:spacing w:after="0"/>
            </w:pPr>
            <w:r>
              <w:rPr>
                <w:b w:val="0"/>
                <w:sz w:val="19"/>
              </w:rPr>
              <w:t>42 U.S.C. 1320a-7k(d); 42 CFR 401.305</w:t>
            </w:r>
          </w:p>
        </w:tc>
        <w:tc>
          <w:tcPr>
            <w:tcW w:type="dxa" w:w="6946"/>
          </w:tcPr>
          <w:p>
            <w:pPr>
              <w:spacing w:after="0"/>
            </w:pPr>
            <w:r>
              <w:rPr>
                <w:b w:val="0"/>
                <w:sz w:val="19"/>
              </w:rPr>
              <w:t>Reporting and returning of overpayments</w:t>
            </w:r>
          </w:p>
        </w:tc>
      </w:tr>
      <w:tr>
        <w:trPr>
          <w:cantSplit w:val="true"/>
        </w:trPr>
        <w:tc>
          <w:tcPr>
            <w:tcW w:type="dxa" w:w="2701"/>
          </w:tcPr>
          <w:p>
            <w:pPr>
              <w:spacing w:after="0"/>
            </w:pPr>
            <w:r>
              <w:rPr>
                <w:b w:val="0"/>
                <w:sz w:val="19"/>
              </w:rPr>
              <w:t>42 U.S.C. 300gg-8; 42 U.S.C. 1396d(gg)</w:t>
            </w:r>
          </w:p>
        </w:tc>
        <w:tc>
          <w:tcPr>
            <w:tcW w:type="dxa" w:w="6946"/>
          </w:tcPr>
          <w:p>
            <w:pPr>
              <w:spacing w:after="0"/>
            </w:pPr>
            <w:r>
              <w:rPr>
                <w:b w:val="0"/>
                <w:sz w:val="19"/>
              </w:rPr>
              <w:t>Coverage of routine costs in approved clinical trials (commercial plans; Medicaid)</w:t>
            </w:r>
          </w:p>
        </w:tc>
      </w:tr>
      <w:tr>
        <w:trPr>
          <w:cantSplit w:val="true"/>
        </w:trPr>
        <w:tc>
          <w:tcPr>
            <w:tcW w:type="dxa" w:w="2701"/>
          </w:tcPr>
          <w:p>
            <w:pPr>
              <w:spacing w:after="0"/>
            </w:pPr>
            <w:r>
              <w:rPr>
                <w:b w:val="0"/>
                <w:sz w:val="19"/>
              </w:rPr>
              <w:t>31 U.S.C. 3729 to 3733</w:t>
            </w:r>
          </w:p>
        </w:tc>
        <w:tc>
          <w:tcPr>
            <w:tcW w:type="dxa" w:w="6946"/>
          </w:tcPr>
          <w:p>
            <w:pPr>
              <w:spacing w:after="0"/>
            </w:pPr>
            <w:r>
              <w:rPr>
                <w:b w:val="0"/>
                <w:sz w:val="19"/>
              </w:rPr>
              <w:t>False Claims Act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SOP-M2 Feasibility, Contracts, Budgets and Research Billing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SOP-M2 Feasibility, Contracts, Budgets and Research Billing</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