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SOP-15</w:t>
      </w:r>
    </w:p>
    <w:p>
      <w:pPr>
        <w:pStyle w:val="Title"/>
        <w:pBdr>
          <w:bottom w:val="single" w:sz="12" w:space="1" w:color="1F3864"/>
        </w:pBdr>
        <w:spacing w:after="120"/>
      </w:pPr>
      <w:r>
        <w:rPr>
          <w:b w:val="0"/>
          <w:color w:val="1F3864"/>
          <w:sz w:val="36"/>
        </w:rPr>
        <w:t>Study Closeout</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Core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closes a trial, at planned completion or after early termination or suspension, so that participants are informed and cared for, data and records are complete, IP and specimens are reconciled, IRB and financial obligations are met and records are archived.</w:t>
      </w:r>
    </w:p>
    <w:p>
      <w:pPr>
        <w:pStyle w:val="Heading1"/>
      </w:pPr>
      <w:r>
        <w:t>2. Scope</w:t>
      </w:r>
    </w:p>
    <w:p>
      <w:pPr/>
      <w:r>
        <w:rPr>
          <w:b w:val="0"/>
        </w:rPr>
        <w:t xml:space="preserve">This SOP applies to every trial at </w:t>
      </w:r>
      <w:r>
        <w:rPr>
          <w:b w:val="0"/>
          <w:highlight w:val="yellow"/>
        </w:rPr>
        <w:t>[SITE NAME]</w:t>
      </w:r>
      <w:r>
        <w:rPr>
          <w:b w:val="0"/>
        </w:rPr>
        <w:t xml:space="preserve"> when the last participant completes the last visit, when the sponsor closes the site, or when the sponsor, investigator, site, IRB or a regulatory authority ends or suspends the trial early.</w:t>
      </w:r>
    </w:p>
    <w:p>
      <w:pPr/>
      <w:r>
        <w:rPr>
          <w:b w:val="0"/>
        </w:rPr>
        <w:t>Out of scope: archiving and destruction procedures (SOP-12) and sponsor-investigator obligations to FDA (SOP-M6, if adopted).</w:t>
      </w:r>
    </w:p>
    <w:p>
      <w:pPr/>
      <w:r>
        <w:rPr>
          <w:b w:val="0"/>
        </w:rPr>
        <w:t>Where the protocol, clinical trial agreement (CTA), sponsor or IRB sets a stricter requirement than this SOP, follow it.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Signs casebooks, arranges participants' ongoing care, approves the IRB final report, provides the final report to the sponsor, and signs F-601-01.</w:t>
            </w:r>
          </w:p>
        </w:tc>
      </w:tr>
      <w:tr>
        <w:trPr>
          <w:cantSplit w:val="true"/>
        </w:trPr>
        <w:tc>
          <w:tcPr>
            <w:tcW w:type="dxa" w:w="2701"/>
          </w:tcPr>
          <w:p>
            <w:pPr>
              <w:keepNext/>
              <w:spacing w:after="0"/>
            </w:pPr>
            <w:r>
              <w:rPr>
                <w:b w:val="0"/>
                <w:sz w:val="19"/>
              </w:rPr>
              <w:t>Lead CRC / Clinical Research Coordinator (CRC)</w:t>
            </w:r>
          </w:p>
        </w:tc>
        <w:tc>
          <w:tcPr>
            <w:tcW w:type="dxa" w:w="6946"/>
          </w:tcPr>
          <w:p>
            <w:pPr>
              <w:keepNext/>
              <w:spacing w:after="0"/>
            </w:pPr>
            <w:r>
              <w:rPr>
                <w:b w:val="0"/>
                <w:sz w:val="19"/>
              </w:rPr>
              <w:t>Opens and completes F-601-01, completes data, queries and participant end-of-study activities, and coordinates the close-out visit.</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Reconciles the ISF, submits the IRB final report and closure request, and prepares records for archiving.</w:t>
            </w:r>
          </w:p>
        </w:tc>
      </w:tr>
      <w:tr>
        <w:trPr>
          <w:cantSplit w:val="true"/>
        </w:trPr>
        <w:tc>
          <w:tcPr>
            <w:tcW w:type="dxa" w:w="2701"/>
          </w:tcPr>
          <w:p>
            <w:pPr>
              <w:keepNext/>
              <w:spacing w:after="0"/>
            </w:pPr>
            <w:r>
              <w:rPr>
                <w:b w:val="0"/>
                <w:sz w:val="19"/>
              </w:rPr>
              <w:t>Research Pharmacist or IP Manager</w:t>
            </w:r>
          </w:p>
        </w:tc>
        <w:tc>
          <w:tcPr>
            <w:tcW w:type="dxa" w:w="6946"/>
          </w:tcPr>
          <w:p>
            <w:pPr>
              <w:keepNext/>
              <w:spacing w:after="0"/>
            </w:pPr>
            <w:r>
              <w:rPr>
                <w:b w:val="0"/>
                <w:sz w:val="19"/>
              </w:rPr>
              <w:t>Completes final IP reconciliation, returns or destroys IP as the sponsor directs, and returns sponsor equipment.</w:t>
            </w:r>
          </w:p>
        </w:tc>
      </w:tr>
      <w:tr>
        <w:trPr>
          <w:cantSplit w:val="true"/>
        </w:trPr>
        <w:tc>
          <w:tcPr>
            <w:tcW w:type="dxa" w:w="2701"/>
          </w:tcPr>
          <w:p>
            <w:pPr>
              <w:keepNext/>
              <w:spacing w:after="0"/>
            </w:pPr>
            <w:r>
              <w:rPr>
                <w:b w:val="0"/>
                <w:sz w:val="19"/>
              </w:rPr>
              <w:t>Finance / Contracts Lead</w:t>
            </w:r>
          </w:p>
        </w:tc>
        <w:tc>
          <w:tcPr>
            <w:tcW w:type="dxa" w:w="6946"/>
          </w:tcPr>
          <w:p>
            <w:pPr>
              <w:keepNext/>
              <w:spacing w:after="0"/>
            </w:pPr>
            <w:r>
              <w:rPr>
                <w:b w:val="0"/>
                <w:sz w:val="19"/>
              </w:rPr>
              <w:t>Reconciles payments, invoices outstanding items and holdback, and closes participant payment accounts.</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Approves site-initiated termination and confirms archiving arrangements and costs.</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Performs the closeout QC review and confirms CAPAs and open findings are closed or transferred.</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Last participant last visit (LPLV)</w:t>
            </w:r>
          </w:p>
        </w:tc>
        <w:tc>
          <w:tcPr>
            <w:tcW w:type="dxa" w:w="6946"/>
          </w:tcPr>
          <w:p>
            <w:pPr>
              <w:keepNext/>
              <w:spacing w:after="0"/>
            </w:pPr>
            <w:r>
              <w:rPr>
                <w:b w:val="0"/>
                <w:sz w:val="19"/>
              </w:rPr>
              <w:t>The date the last participant at the site completes the last protocol-required visit or contact.</w:t>
            </w:r>
          </w:p>
        </w:tc>
      </w:tr>
      <w:tr>
        <w:trPr>
          <w:cantSplit w:val="true"/>
        </w:trPr>
        <w:tc>
          <w:tcPr>
            <w:tcW w:type="dxa" w:w="2701"/>
          </w:tcPr>
          <w:p>
            <w:pPr>
              <w:keepNext/>
              <w:spacing w:after="0"/>
            </w:pPr>
            <w:r>
              <w:rPr>
                <w:b w:val="0"/>
                <w:sz w:val="19"/>
              </w:rPr>
              <w:t>Close-out visit</w:t>
            </w:r>
          </w:p>
        </w:tc>
        <w:tc>
          <w:tcPr>
            <w:tcW w:type="dxa" w:w="6946"/>
          </w:tcPr>
          <w:p>
            <w:pPr>
              <w:keepNext/>
              <w:spacing w:after="0"/>
            </w:pPr>
            <w:r>
              <w:rPr>
                <w:b w:val="0"/>
                <w:sz w:val="19"/>
              </w:rPr>
              <w:t>The final monitoring visit, on site or remote, at which the sponsor confirms site close-out is complete.</w:t>
            </w:r>
          </w:p>
        </w:tc>
      </w:tr>
      <w:tr>
        <w:trPr>
          <w:cantSplit w:val="true"/>
        </w:trPr>
        <w:tc>
          <w:tcPr>
            <w:tcW w:type="dxa" w:w="2701"/>
          </w:tcPr>
          <w:p>
            <w:pPr>
              <w:keepNext/>
              <w:spacing w:after="0"/>
            </w:pPr>
            <w:r>
              <w:rPr>
                <w:b w:val="0"/>
                <w:sz w:val="19"/>
              </w:rPr>
              <w:t>Casebook sign-off</w:t>
            </w:r>
          </w:p>
        </w:tc>
        <w:tc>
          <w:tcPr>
            <w:tcW w:type="dxa" w:w="6946"/>
          </w:tcPr>
          <w:p>
            <w:pPr>
              <w:keepNext/>
              <w:spacing w:after="0"/>
            </w:pPr>
            <w:r>
              <w:rPr>
                <w:b w:val="0"/>
                <w:sz w:val="19"/>
              </w:rPr>
              <w:t>The investigator's electronic signature in EDC attesting to review of each participant's CRF data.</w:t>
            </w:r>
          </w:p>
        </w:tc>
      </w:tr>
      <w:tr>
        <w:trPr>
          <w:cantSplit w:val="true"/>
        </w:trPr>
        <w:tc>
          <w:tcPr>
            <w:tcW w:type="dxa" w:w="2701"/>
          </w:tcPr>
          <w:p>
            <w:pPr>
              <w:keepNext/>
              <w:spacing w:after="0"/>
            </w:pPr>
            <w:r>
              <w:rPr>
                <w:b w:val="0"/>
                <w:sz w:val="19"/>
              </w:rPr>
              <w:t>Holdback</w:t>
            </w:r>
          </w:p>
        </w:tc>
        <w:tc>
          <w:tcPr>
            <w:tcW w:type="dxa" w:w="6946"/>
          </w:tcPr>
          <w:p>
            <w:pPr>
              <w:keepNext/>
              <w:spacing w:after="0"/>
            </w:pPr>
            <w:r>
              <w:rPr>
                <w:b w:val="0"/>
                <w:sz w:val="19"/>
              </w:rPr>
              <w:t>Payments the sponsor retains under the CTA until close-out conditions are met.</w:t>
            </w:r>
          </w:p>
        </w:tc>
      </w:tr>
      <w:tr>
        <w:trPr>
          <w:cantSplit w:val="true"/>
        </w:trPr>
        <w:tc>
          <w:tcPr>
            <w:tcW w:type="dxa" w:w="2701"/>
          </w:tcPr>
          <w:p>
            <w:pPr>
              <w:keepNext/>
              <w:spacing w:after="0"/>
            </w:pPr>
            <w:r>
              <w:rPr>
                <w:b w:val="0"/>
                <w:sz w:val="19"/>
              </w:rPr>
              <w:t>Early termination</w:t>
            </w:r>
          </w:p>
        </w:tc>
        <w:tc>
          <w:tcPr>
            <w:tcW w:type="dxa" w:w="6946"/>
          </w:tcPr>
          <w:p>
            <w:pPr>
              <w:keepNext/>
              <w:spacing w:after="0"/>
            </w:pPr>
            <w:r>
              <w:rPr>
                <w:b w:val="0"/>
                <w:sz w:val="19"/>
              </w:rPr>
              <w:t>Ending of the trial, or of the site's participation, before planned completion.</w:t>
            </w:r>
          </w:p>
        </w:tc>
      </w:tr>
      <w:tr>
        <w:trPr>
          <w:cantSplit w:val="true"/>
        </w:trPr>
        <w:tc>
          <w:tcPr>
            <w:tcW w:type="dxa" w:w="2701"/>
          </w:tcPr>
          <w:p>
            <w:pPr>
              <w:spacing w:after="0"/>
            </w:pPr>
            <w:r>
              <w:rPr>
                <w:b w:val="0"/>
                <w:sz w:val="19"/>
              </w:rPr>
              <w:t>Suspension</w:t>
            </w:r>
          </w:p>
        </w:tc>
        <w:tc>
          <w:tcPr>
            <w:tcW w:type="dxa" w:w="6946"/>
          </w:tcPr>
          <w:p>
            <w:pPr>
              <w:spacing w:after="0"/>
            </w:pPr>
            <w:r>
              <w:rPr>
                <w:b w:val="0"/>
                <w:sz w:val="19"/>
              </w:rPr>
              <w:t>Temporary halt of all or part of a trial (for example enrollment or dosing) pending review.</w:t>
            </w:r>
          </w:p>
        </w:tc>
      </w:tr>
    </w:tbl>
    <w:p>
      <w:pPr>
        <w:spacing w:after="40"/>
      </w:pPr>
    </w:p>
    <w:p>
      <w:pPr>
        <w:pStyle w:val="Heading1"/>
      </w:pPr>
      <w:r>
        <w:t>5. Procedure</w:t>
      </w:r>
    </w:p>
    <w:p>
      <w:pPr>
        <w:pStyle w:val="Heading2"/>
      </w:pPr>
      <w:r>
        <w:t>5.1 Planning</w:t>
      </w:r>
    </w:p>
    <w:p>
      <w:pPr>
        <w:tabs>
          <w:tab w:pos="648" w:val="left"/>
        </w:tabs>
        <w:ind w:left="648" w:hanging="648"/>
      </w:pPr>
      <w:r>
        <w:rPr>
          <w:b/>
        </w:rPr>
        <w:t>5.1.1</w:t>
        <w:tab/>
      </w:r>
      <w:r>
        <w:rPr>
          <w:b w:val="0"/>
        </w:rPr>
        <w:t>When the sponsor announces end of enrollment or LPLV, the Lead CRC opens F-601-01 and assigns an owner and target date to each item.</w:t>
      </w:r>
    </w:p>
    <w:p>
      <w:pPr>
        <w:tabs>
          <w:tab w:pos="648" w:val="left"/>
        </w:tabs>
        <w:ind w:left="648" w:hanging="648"/>
      </w:pPr>
      <w:r>
        <w:rPr>
          <w:b/>
        </w:rPr>
        <w:t>5.1.2</w:t>
        <w:tab/>
      </w:r>
      <w:r>
        <w:rPr>
          <w:b w:val="0"/>
        </w:rPr>
        <w:t>The Lead CRC confirms with the sponsor the database lock date, close-out visit date and format, IP, supply and specimen instructions, record retention instructions, and whether participants will receive results.</w:t>
      </w:r>
    </w:p>
    <w:p>
      <w:pPr>
        <w:pStyle w:val="Heading2"/>
      </w:pPr>
      <w:r>
        <w:t>5.2 Participants</w:t>
      </w:r>
    </w:p>
    <w:p>
      <w:pPr>
        <w:tabs>
          <w:tab w:pos="648" w:val="left"/>
        </w:tabs>
        <w:ind w:left="648" w:hanging="648"/>
      </w:pPr>
      <w:r>
        <w:rPr>
          <w:b/>
        </w:rPr>
        <w:t>5.2.1</w:t>
        <w:tab/>
      </w:r>
      <w:r>
        <w:rPr>
          <w:b w:val="0"/>
        </w:rPr>
        <w:t>The CRC completes each participant's end-of-study visit as the protocol requires and records end-of-study status in EDC.</w:t>
      </w:r>
    </w:p>
    <w:p>
      <w:pPr>
        <w:tabs>
          <w:tab w:pos="648" w:val="left"/>
        </w:tabs>
        <w:ind w:left="648" w:hanging="648"/>
      </w:pPr>
      <w:r>
        <w:rPr>
          <w:b/>
        </w:rPr>
        <w:t>5.2.2</w:t>
        <w:tab/>
      </w:r>
      <w:r>
        <w:rPr>
          <w:b w:val="0"/>
        </w:rPr>
        <w:t>At the final visit the investigator discusses ongoing care, including treatment options after the trial and any sponsor post-trial access to IP, arranges transfer of care to the participant's own physician where needed, and documents it.</w:t>
      </w:r>
    </w:p>
    <w:p>
      <w:pPr>
        <w:tabs>
          <w:tab w:pos="648" w:val="left"/>
        </w:tabs>
        <w:ind w:left="648" w:hanging="648"/>
      </w:pPr>
      <w:r>
        <w:rPr>
          <w:b/>
        </w:rPr>
        <w:t>5.2.3</w:t>
        <w:tab/>
      </w:r>
      <w:r>
        <w:rPr>
          <w:b w:val="0"/>
        </w:rPr>
        <w:t>Ongoing AEs and SAEs are followed as the protocol requires, and pregnancies to outcome (SOP-09).</w:t>
      </w:r>
    </w:p>
    <w:p>
      <w:pPr>
        <w:tabs>
          <w:tab w:pos="648" w:val="left"/>
        </w:tabs>
        <w:ind w:left="648" w:hanging="648"/>
      </w:pPr>
      <w:r>
        <w:rPr>
          <w:b/>
        </w:rPr>
        <w:t>5.2.4</w:t>
        <w:tab/>
      </w:r>
      <w:r>
        <w:rPr>
          <w:b w:val="0"/>
        </w:rPr>
        <w:t>The CRC tells participants how they will learn the trial results and, for blinded trials, their treatment, if the sponsor provides this, and records each participant's preference (ICH E6(R3) Annex 1, 2.9.3). When the sponsor supplies a results summary, the Regulatory Coordinator obtains IRB approval if the IRB requires it, and the CRC sends it to participants who asked for it.</w:t>
      </w:r>
    </w:p>
    <w:p>
      <w:pPr>
        <w:tabs>
          <w:tab w:pos="648" w:val="left"/>
        </w:tabs>
        <w:ind w:left="648" w:hanging="648"/>
      </w:pPr>
      <w:r>
        <w:rPr>
          <w:b/>
        </w:rPr>
        <w:t>5.2.5</w:t>
        <w:tab/>
      </w:r>
      <w:r>
        <w:rPr>
          <w:b w:val="0"/>
        </w:rPr>
        <w:t>For blinded trials, the Lead CRC asks the sponsor how treatment assignments will be released after unblinding. When received, the investigator reviews them, the Regulatory Coordinator files them in the ISF, the CRC informs each participant who asked to know, and information that matters for ongoing care goes to the participant's physician with the participant's agreement.</w:t>
      </w:r>
    </w:p>
    <w:p>
      <w:pPr>
        <w:pStyle w:val="Heading2"/>
      </w:pPr>
      <w:r>
        <w:t>5.3 Data</w:t>
      </w:r>
    </w:p>
    <w:p>
      <w:pPr>
        <w:tabs>
          <w:tab w:pos="648" w:val="left"/>
        </w:tabs>
        <w:ind w:left="648" w:hanging="648"/>
      </w:pPr>
      <w:r>
        <w:rPr>
          <w:b/>
        </w:rPr>
        <w:t>5.3.1</w:t>
        <w:tab/>
      </w:r>
      <w:r>
        <w:rPr>
          <w:b w:val="0"/>
        </w:rPr>
        <w:t>The CRC enters all outstanding data, answers all queries by the sponsor's deadline and reconciles source with EDC for each participant (SOP-07).</w:t>
      </w:r>
    </w:p>
    <w:p>
      <w:pPr>
        <w:tabs>
          <w:tab w:pos="648" w:val="left"/>
        </w:tabs>
        <w:ind w:left="648" w:hanging="648"/>
      </w:pPr>
      <w:r>
        <w:rPr>
          <w:b/>
        </w:rPr>
        <w:t>5.3.2</w:t>
        <w:tab/>
      </w:r>
      <w:r>
        <w:rPr>
          <w:b w:val="0"/>
        </w:rPr>
        <w:t>The PI (or a Sub-I where the sponsor allows) reviews and signs each casebook by the sponsor's deadline, and re-signs if data change after signature.</w:t>
      </w:r>
    </w:p>
    <w:p>
      <w:pPr>
        <w:tabs>
          <w:tab w:pos="648" w:val="left"/>
        </w:tabs>
        <w:ind w:left="648" w:hanging="648"/>
      </w:pPr>
      <w:r>
        <w:rPr>
          <w:b/>
        </w:rPr>
        <w:t>5.3.3</w:t>
        <w:tab/>
      </w:r>
      <w:r>
        <w:rPr>
          <w:b w:val="0"/>
        </w:rPr>
        <w:t>The Lead CRC obtains the sponsor's written confirmation that the site will receive a copy of its participants' eCRF data with audit trail after database lock. When the copy arrives, the Regulatory Coordinator checks that it opens, covers every participant and includes the audit trail, records the check on F-601-01 and files it for retention (SOP-12). Gaps are raised with the sponsor in writing.</w:t>
      </w:r>
    </w:p>
    <w:p>
      <w:pPr>
        <w:tabs>
          <w:tab w:pos="648" w:val="left"/>
        </w:tabs>
        <w:ind w:left="648" w:hanging="648"/>
      </w:pPr>
      <w:r>
        <w:rPr>
          <w:b/>
        </w:rPr>
        <w:t>5.3.4</w:t>
        <w:tab/>
      </w:r>
      <w:r>
        <w:rPr>
          <w:b w:val="0"/>
        </w:rPr>
        <w:t>Site staff access to sponsor systems ends when the sponsor specifies. The Quality Lead removes monitor access to site systems at close and records it on F-401-01.</w:t>
      </w:r>
    </w:p>
    <w:p>
      <w:pPr>
        <w:pStyle w:val="Heading2"/>
      </w:pPr>
      <w:r>
        <w:t>5.4 IP, equipment and specimens</w:t>
      </w:r>
    </w:p>
    <w:p>
      <w:pPr>
        <w:tabs>
          <w:tab w:pos="648" w:val="left"/>
        </w:tabs>
        <w:ind w:left="648" w:hanging="648"/>
      </w:pPr>
      <w:r>
        <w:rPr>
          <w:b/>
        </w:rPr>
        <w:t>5.4.1</w:t>
        <w:tab/>
      </w:r>
      <w:r>
        <w:rPr>
          <w:b w:val="0"/>
        </w:rPr>
        <w:t>The IP Manager completes final accountability on F-304-01, reconciling received, dispensed, returned, destroyed and on-hand quantities against F-304-04, and explains every discrepancy.</w:t>
      </w:r>
    </w:p>
    <w:p>
      <w:pPr>
        <w:tabs>
          <w:tab w:pos="648" w:val="left"/>
        </w:tabs>
        <w:ind w:left="648" w:hanging="648"/>
      </w:pPr>
      <w:r>
        <w:rPr>
          <w:b/>
        </w:rPr>
        <w:t>5.4.2</w:t>
        <w:tab/>
      </w:r>
      <w:r>
        <w:rPr>
          <w:b w:val="0"/>
        </w:rPr>
        <w:t>After the monitor verifies accountability, unused IP is returned or destroyed only on the sponsor's written instruction (21 CFR 312.59; 21 CFR 312.62(a)), and devices are returned or disposed of as the sponsor directs (21 CFR 812.110(e)). Controlled-substance IP follows DEA requirements, with records under 21 CFR 1304. Return or destruction records are filed in the ISF.</w:t>
      </w:r>
    </w:p>
    <w:p>
      <w:pPr>
        <w:tabs>
          <w:tab w:pos="648" w:val="left"/>
        </w:tabs>
        <w:ind w:left="648" w:hanging="648"/>
      </w:pPr>
      <w:r>
        <w:rPr>
          <w:b/>
        </w:rPr>
        <w:t>5.4.3</w:t>
        <w:tab/>
      </w:r>
      <w:r>
        <w:rPr>
          <w:b w:val="0"/>
        </w:rPr>
        <w:t>Sponsor equipment is returned as instructed and its F-312-01 entry marked returned with the date. Unused kits and supplies are returned or destroyed as instructed. Temperature logs (F-304-02) for the full storage period are filed.</w:t>
      </w:r>
    </w:p>
    <w:p>
      <w:pPr>
        <w:tabs>
          <w:tab w:pos="648" w:val="left"/>
        </w:tabs>
        <w:ind w:left="648" w:hanging="648"/>
      </w:pPr>
      <w:r>
        <w:rPr>
          <w:b/>
        </w:rPr>
        <w:t>5.4.4</w:t>
        <w:tab/>
      </w:r>
      <w:r>
        <w:rPr>
          <w:b w:val="0"/>
        </w:rPr>
        <w:t>The CRC reconciles F-311-01 with the sponsor's specimen receipt records. Specimens left at the site are shipped, kept or destroyed only on the sponsor's written instruction and within the participant's consent for storage and future use, and destruction is recorded.</w:t>
      </w:r>
    </w:p>
    <w:p>
      <w:pPr>
        <w:pStyle w:val="Heading2"/>
      </w:pPr>
      <w:r>
        <w:t>5.5 Essential records and closeout QC</w:t>
      </w:r>
    </w:p>
    <w:p>
      <w:pPr>
        <w:tabs>
          <w:tab w:pos="648" w:val="left"/>
        </w:tabs>
        <w:ind w:left="648" w:hanging="648"/>
      </w:pPr>
      <w:r>
        <w:rPr>
          <w:b/>
        </w:rPr>
        <w:t>5.5.1</w:t>
        <w:tab/>
      </w:r>
      <w:r>
        <w:rPr>
          <w:b w:val="0"/>
        </w:rPr>
        <w:t>The Regulatory Coordinator reconciles the ISF against F-204-01 and the sponsor's expected list, confirms safety acknowledgments, IRB correspondence, delegation and training records, consent versions, signed consents, monitoring letters and deviation logs are complete through study end, and files missing items or a Note to File (F-306-01) explaining each absence.</w:t>
      </w:r>
    </w:p>
    <w:p>
      <w:pPr>
        <w:tabs>
          <w:tab w:pos="648" w:val="left"/>
        </w:tabs>
        <w:ind w:left="648" w:hanging="648"/>
      </w:pPr>
      <w:r>
        <w:rPr>
          <w:b/>
        </w:rPr>
        <w:t>5.5.2</w:t>
        <w:tab/>
      </w:r>
      <w:r>
        <w:rPr>
          <w:b w:val="0"/>
        </w:rPr>
        <w:t>The Quality Lead performs a closeout QC review on F-700-01 and confirms that CAPAs (F-703-02) and open monitoring actions (F-600-02) are closed or have a named owner after close.</w:t>
      </w:r>
    </w:p>
    <w:p>
      <w:pPr>
        <w:pStyle w:val="Heading2"/>
      </w:pPr>
      <w:r>
        <w:t>5.6 Close-out visit</w:t>
      </w:r>
    </w:p>
    <w:p>
      <w:pPr>
        <w:tabs>
          <w:tab w:pos="648" w:val="left"/>
        </w:tabs>
        <w:ind w:left="648" w:hanging="648"/>
      </w:pPr>
      <w:r>
        <w:rPr>
          <w:b/>
        </w:rPr>
        <w:t>5.6.1</w:t>
        <w:tab/>
      </w:r>
      <w:r>
        <w:rPr>
          <w:b w:val="0"/>
        </w:rPr>
        <w:t>The Lead CRC schedules the close-out visit, records it on F-600-01 and prepares under SOP-13.</w:t>
      </w:r>
    </w:p>
    <w:p>
      <w:pPr>
        <w:tabs>
          <w:tab w:pos="648" w:val="left"/>
        </w:tabs>
        <w:ind w:left="648" w:hanging="648"/>
      </w:pPr>
      <w:r>
        <w:rPr>
          <w:b/>
        </w:rPr>
        <w:t>5.6.2</w:t>
        <w:tab/>
      </w:r>
      <w:r>
        <w:rPr>
          <w:b w:val="0"/>
        </w:rPr>
        <w:t>The monitor confirms IP reconciliation, record completeness and retention arrangements. Open items go on F-600-02 and are completed before the site is closed in sponsor systems. The Regulatory Coordinator files the close-out letter in the ISF.</w:t>
      </w:r>
    </w:p>
    <w:p>
      <w:pPr>
        <w:pStyle w:val="Heading2"/>
      </w:pPr>
      <w:r>
        <w:t>5.7 IRB, sponsor and FDA reports</w:t>
      </w:r>
    </w:p>
    <w:p>
      <w:pPr>
        <w:tabs>
          <w:tab w:pos="648" w:val="left"/>
        </w:tabs>
        <w:ind w:left="648" w:hanging="648"/>
      </w:pPr>
      <w:r>
        <w:rPr>
          <w:b/>
        </w:rPr>
        <w:t>5.7.1</w:t>
        <w:tab/>
      </w:r>
      <w:r>
        <w:rPr>
          <w:b w:val="0"/>
        </w:rPr>
        <w:t>With the PI's approval, the Regulatory Coordinator submits the final report or closure request to the IRB when the IRB's closure criteria are met, in the IRB's format (ICH E6(R3) Annex 1, 2.13). While the sponsor is still sending queries, the study stays open with the IRB unless the IRB says otherwise.</w:t>
      </w:r>
    </w:p>
    <w:p>
      <w:pPr>
        <w:tabs>
          <w:tab w:pos="648" w:val="left"/>
        </w:tabs>
        <w:ind w:left="648" w:hanging="648"/>
      </w:pPr>
      <w:r>
        <w:rPr>
          <w:b/>
        </w:rPr>
        <w:t>5.7.2</w:t>
        <w:tab/>
      </w:r>
      <w:r>
        <w:rPr>
          <w:b w:val="0"/>
        </w:rPr>
        <w:t>For drug studies, the investigator gives the sponsor an adequate final report shortly after completing participation (21 CFR 312.64(c)); the Regulatory Coordinator confirms with the sponsor whether its close-out documentation serves this purpose. For device studies, the investigator submits the final report to the sponsor and IRB within the time in SOP-09, 5.8.2.</w:t>
      </w:r>
    </w:p>
    <w:p>
      <w:pPr>
        <w:tabs>
          <w:tab w:pos="648" w:val="left"/>
        </w:tabs>
        <w:ind w:left="648" w:hanging="648"/>
      </w:pPr>
      <w:r>
        <w:rPr>
          <w:b/>
        </w:rPr>
        <w:t>5.7.3</w:t>
        <w:tab/>
      </w:r>
      <w:r>
        <w:rPr>
          <w:b w:val="0"/>
        </w:rPr>
        <w:t>The IRB closure letter is filed in the ISF and a copy sent to the sponsor.</w:t>
      </w:r>
    </w:p>
    <w:p>
      <w:pPr>
        <w:tabs>
          <w:tab w:pos="648" w:val="left"/>
        </w:tabs>
        <w:ind w:left="648" w:hanging="648"/>
      </w:pPr>
      <w:r>
        <w:rPr>
          <w:b/>
        </w:rPr>
        <w:t>5.7.4</w:t>
        <w:tab/>
      </w:r>
      <w:r>
        <w:rPr>
          <w:b w:val="0"/>
        </w:rPr>
        <w:t>The PI and each Sub-I listed on the 1572 or investigator agreement update financial disclosure to the sponsor for relevant changes during the study and for 1 year after completion (21 CFR 312.64(d); 21 CFR 812.110(d); SOP-02).</w:t>
      </w:r>
    </w:p>
    <w:p>
      <w:pPr>
        <w:pStyle w:val="Heading2"/>
      </w:pPr>
      <w:r>
        <w:t>5.8 Financial closeout</w:t>
      </w:r>
    </w:p>
    <w:p>
      <w:pPr>
        <w:tabs>
          <w:tab w:pos="648" w:val="left"/>
        </w:tabs>
        <w:ind w:left="648" w:hanging="648"/>
      </w:pPr>
      <w:r>
        <w:rPr>
          <w:b/>
        </w:rPr>
        <w:t>5.8.1</w:t>
        <w:tab/>
      </w:r>
      <w:r>
        <w:rPr>
          <w:b w:val="0"/>
        </w:rPr>
        <w:t>The Finance / Contracts Lead reconciles payments received against work performed using the CTA payment schedule, invoices outstanding items (for example screen failures, unscheduled visits, IRB, close-out and archiving fees) within the CTA invoicing deadline, and requests holdback when the sponsor's conditions are met.</w:t>
      </w:r>
    </w:p>
    <w:p>
      <w:pPr>
        <w:tabs>
          <w:tab w:pos="648" w:val="left"/>
        </w:tabs>
        <w:ind w:left="648" w:hanging="648"/>
      </w:pPr>
      <w:r>
        <w:rPr>
          <w:b/>
        </w:rPr>
        <w:t>5.8.2</w:t>
        <w:tab/>
      </w:r>
      <w:r>
        <w:rPr>
          <w:b w:val="0"/>
        </w:rPr>
        <w:t>The Finance / Contracts Lead confirms all participant payments and reimbursements are complete and closes payment cards or accounts (SOP-10).</w:t>
      </w:r>
    </w:p>
    <w:p>
      <w:pPr>
        <w:tabs>
          <w:tab w:pos="648" w:val="left"/>
        </w:tabs>
        <w:ind w:left="648" w:hanging="648"/>
      </w:pPr>
      <w:r>
        <w:rPr>
          <w:b/>
        </w:rPr>
        <w:t>5.8.3</w:t>
        <w:tab/>
      </w:r>
      <w:r>
        <w:rPr>
          <w:b w:val="0"/>
        </w:rPr>
        <w:t>The Finance / Contracts Lead confirms that no sponsor-paid item was billed to a participant or insurer (SOP-03, 5.10.5).</w:t>
      </w:r>
    </w:p>
    <w:p>
      <w:pPr>
        <w:pStyle w:val="Heading2"/>
      </w:pPr>
      <w:r>
        <w:t>5.9 Archiving</w:t>
      </w:r>
    </w:p>
    <w:p>
      <w:pPr>
        <w:tabs>
          <w:tab w:pos="648" w:val="left"/>
        </w:tabs>
        <w:ind w:left="648" w:hanging="648"/>
      </w:pPr>
      <w:r>
        <w:rPr>
          <w:b/>
        </w:rPr>
        <w:t>5.9.1</w:t>
        <w:tab/>
      </w:r>
      <w:r>
        <w:rPr>
          <w:b w:val="0"/>
        </w:rPr>
        <w:t>The Regulatory Coordinator prepares records for archiving under SOP-12, records them on F-402-01, and does not destroy records without the sponsor notice SOP-12 requires.</w:t>
      </w:r>
    </w:p>
    <w:p>
      <w:pPr>
        <w:tabs>
          <w:tab w:pos="648" w:val="left"/>
        </w:tabs>
        <w:ind w:left="648" w:hanging="648"/>
      </w:pPr>
      <w:r>
        <w:rPr>
          <w:b/>
        </w:rPr>
        <w:t>5.9.2</w:t>
        <w:tab/>
      </w:r>
      <w:r>
        <w:rPr>
          <w:b w:val="0"/>
        </w:rPr>
        <w:t xml:space="preserve">The sponsor is told the archive location and the person responsible for the records, and of any later change, including change of ownership or closure of </w:t>
      </w:r>
      <w:r>
        <w:rPr>
          <w:b w:val="0"/>
          <w:highlight w:val="yellow"/>
        </w:rPr>
        <w:t>[SITE NAME]</w:t>
      </w:r>
      <w:r>
        <w:rPr>
          <w:b w:val="0"/>
        </w:rPr>
        <w:t xml:space="preserve"> (ICH E6(R3) Annex 1, 2.12.13; SOP-16).</w:t>
      </w:r>
    </w:p>
    <w:p>
      <w:pPr>
        <w:pStyle w:val="Heading2"/>
      </w:pPr>
      <w:r>
        <w:t>5.10 Early termination or suspension</w:t>
      </w:r>
    </w:p>
    <w:p>
      <w:pPr>
        <w:tabs>
          <w:tab w:pos="648" w:val="left"/>
        </w:tabs>
        <w:ind w:left="648" w:hanging="648"/>
      </w:pPr>
      <w:r>
        <w:rPr>
          <w:b/>
        </w:rPr>
        <w:t>5.10.1</w:t>
        <w:tab/>
      </w:r>
      <w:r>
        <w:rPr>
          <w:b w:val="0"/>
        </w:rPr>
        <w:t xml:space="preserve">If the sponsor terminates or suspends the trial, the Regulatory Coordinator files the notice, and the PI confirms with the sponsor which party informs the IRB; the IRB is informed within </w:t>
      </w:r>
      <w:r>
        <w:rPr>
          <w:b w:val="0"/>
          <w:highlight w:val="green"/>
        </w:rPr>
        <w:t>[DEFAULT: 5 business days of the notice]</w:t>
      </w:r>
      <w:r>
        <w:rPr>
          <w:b w:val="0"/>
        </w:rPr>
        <w:t xml:space="preserve"> or its own window if shorter (ICH E6(R3) Annex 1, 2.6.3).</w:t>
      </w:r>
    </w:p>
    <w:p>
      <w:pPr>
        <w:tabs>
          <w:tab w:pos="648" w:val="left"/>
        </w:tabs>
        <w:ind w:left="648" w:hanging="648"/>
      </w:pPr>
      <w:r>
        <w:rPr>
          <w:b/>
        </w:rPr>
        <w:t>5.10.2</w:t>
        <w:tab/>
      </w:r>
      <w:r>
        <w:rPr>
          <w:b w:val="0"/>
        </w:rPr>
        <w:t xml:space="preserve">If the PI or the site ends participation without the sponsor's prior agreement, the PI informs the sponsor and IRB within </w:t>
      </w:r>
      <w:r>
        <w:rPr>
          <w:b w:val="0"/>
          <w:highlight w:val="green"/>
        </w:rPr>
        <w:t>[DEFAULT: 5 business days of the decision]</w:t>
      </w:r>
      <w:r>
        <w:rPr>
          <w:b w:val="0"/>
        </w:rPr>
        <w:t xml:space="preserve"> with a detailed explanation (ICH E6(R3) Annex 1, 2.6.2). The Site Director approves site-initiated termination and the Finance / Contracts Lead reviews the CTA termination terms.</w:t>
      </w:r>
    </w:p>
    <w:p>
      <w:pPr>
        <w:tabs>
          <w:tab w:pos="648" w:val="left"/>
        </w:tabs>
        <w:ind w:left="648" w:hanging="648"/>
      </w:pPr>
      <w:r>
        <w:rPr>
          <w:b/>
        </w:rPr>
        <w:t>5.10.3</w:t>
        <w:tab/>
      </w:r>
      <w:r>
        <w:rPr>
          <w:b w:val="0"/>
        </w:rPr>
        <w:t>If the IRB suspends or terminates approval, the PI informs the sponsor within the time in SOP-09 (device studies: SOP-09, 5.8.2). Research activities stop except those the IRB permits for participant safety.</w:t>
      </w:r>
    </w:p>
    <w:p>
      <w:pPr>
        <w:tabs>
          <w:tab w:pos="648" w:val="left"/>
        </w:tabs>
        <w:ind w:left="648" w:hanging="648"/>
      </w:pPr>
      <w:r>
        <w:rPr>
          <w:b/>
        </w:rPr>
        <w:t>5.10.4</w:t>
        <w:tab/>
      </w:r>
      <w:r>
        <w:rPr>
          <w:b w:val="0"/>
        </w:rPr>
        <w:t>The PI decides, with the sponsor's input, how IP stops for each participant, and arranges a safe transition where abrupt stopping could harm the participant.</w:t>
      </w:r>
    </w:p>
    <w:p>
      <w:pPr>
        <w:tabs>
          <w:tab w:pos="648" w:val="left"/>
        </w:tabs>
        <w:ind w:left="648" w:hanging="648"/>
      </w:pPr>
      <w:r>
        <w:rPr>
          <w:b/>
        </w:rPr>
        <w:t>5.10.5</w:t>
        <w:tab/>
      </w:r>
      <w:r>
        <w:rPr>
          <w:b w:val="0"/>
        </w:rPr>
        <w:t xml:space="preserve">The CRC contacts every active participant </w:t>
      </w:r>
      <w:r>
        <w:rPr>
          <w:b w:val="0"/>
          <w:highlight w:val="green"/>
        </w:rPr>
        <w:t>[DEFAULT: within 2 business days of the sponsor or IRB notice; the same day where IP must stop]</w:t>
      </w:r>
      <w:r>
        <w:rPr>
          <w:b w:val="0"/>
        </w:rPr>
        <w:t>, explains the termination or suspension and the reason as far as known, using IRB-approved language where required, and records each contact on F-309-01 (ICH E6(R3) Annex 1, 2.6.1).</w:t>
      </w:r>
    </w:p>
    <w:p>
      <w:pPr>
        <w:tabs>
          <w:tab w:pos="648" w:val="left"/>
        </w:tabs>
        <w:ind w:left="648" w:hanging="648"/>
      </w:pPr>
      <w:r>
        <w:rPr>
          <w:b/>
        </w:rPr>
        <w:t>5.10.6</w:t>
        <w:tab/>
      </w:r>
      <w:r>
        <w:rPr>
          <w:b w:val="0"/>
        </w:rPr>
        <w:t>The investigator arranges therapy and follow-up for each participant, including transfer of care with a written summary of trial treatment where helpful. Safety follow-up continues as the protocol requires.</w:t>
      </w:r>
    </w:p>
    <w:p>
      <w:pPr>
        <w:tabs>
          <w:tab w:pos="648" w:val="left"/>
        </w:tabs>
        <w:ind w:left="648" w:hanging="648"/>
      </w:pPr>
      <w:r>
        <w:rPr>
          <w:b/>
        </w:rPr>
        <w:t>5.10.7</w:t>
        <w:tab/>
      </w:r>
      <w:r>
        <w:rPr>
          <w:b w:val="0"/>
        </w:rPr>
        <w:t>After participants are safe, sections 5.3 to 5.9 are completed.</w:t>
      </w:r>
    </w:p>
    <w:p>
      <w:pPr>
        <w:tabs>
          <w:tab w:pos="648" w:val="left"/>
        </w:tabs>
        <w:ind w:left="648" w:hanging="648"/>
      </w:pPr>
      <w:r>
        <w:rPr>
          <w:b/>
        </w:rPr>
        <w:t>5.10.8</w:t>
        <w:tab/>
      </w:r>
      <w:r>
        <w:rPr>
          <w:b w:val="0"/>
        </w:rPr>
        <w:t>A suspended trial resumes only on the sponsor's written instruction and IRB approval where required. A significant risk device study terminated under 21 CFR 812.46(b) does not resume without IRB and FDA approval (21 CFR 812.46(c)).</w:t>
      </w:r>
    </w:p>
    <w:p>
      <w:pPr>
        <w:pStyle w:val="Heading2"/>
      </w:pPr>
      <w:r>
        <w:t>5.11 Completion</w:t>
      </w:r>
    </w:p>
    <w:p>
      <w:pPr>
        <w:tabs>
          <w:tab w:pos="648" w:val="left"/>
        </w:tabs>
        <w:ind w:left="648" w:hanging="648"/>
      </w:pPr>
      <w:r>
        <w:rPr>
          <w:b/>
        </w:rPr>
        <w:t>5.11.1</w:t>
        <w:tab/>
      </w:r>
      <w:r>
        <w:rPr>
          <w:b w:val="0"/>
        </w:rPr>
        <w:t>When all F-601-01 items are complete, the Lead CRC and PI sign it and the Regulatory Coordinator files it in the ISF. After archiving, the PI signs the archive-complete line on F-601-01 and the checklist is filed with the archive record on F-402-01 (SOP-12).</w:t>
      </w:r>
    </w:p>
    <w:p>
      <w:pPr>
        <w:pStyle w:val="Heading1"/>
      </w:pPr>
      <w:r>
        <w:t>6. Related Forms and SOPs</w:t>
      </w:r>
    </w:p>
    <w:p>
      <w:pPr>
        <w:pStyle w:val="ListBullet"/>
        <w:spacing w:after="40"/>
        <w:ind w:left="360" w:hanging="259"/>
      </w:pPr>
      <w:r>
        <w:rPr>
          <w:b w:val="0"/>
        </w:rPr>
        <w:t>F-601-01 Study Closeout Checklist</w:t>
      </w:r>
    </w:p>
    <w:p>
      <w:pPr>
        <w:pStyle w:val="ListBullet"/>
        <w:spacing w:after="40"/>
        <w:ind w:left="360" w:hanging="259"/>
      </w:pPr>
      <w:r>
        <w:rPr>
          <w:b w:val="0"/>
        </w:rPr>
        <w:t>F-204-01 Investigator Site File Index</w:t>
      </w:r>
    </w:p>
    <w:p>
      <w:pPr>
        <w:pStyle w:val="ListBullet"/>
        <w:spacing w:after="40"/>
        <w:ind w:left="360" w:hanging="259"/>
      </w:pPr>
      <w:r>
        <w:rPr>
          <w:b w:val="0"/>
        </w:rPr>
        <w:t>F-304-01 Investigational Product Accountability Log</w:t>
      </w:r>
    </w:p>
    <w:p>
      <w:pPr>
        <w:pStyle w:val="ListBullet"/>
        <w:spacing w:after="40"/>
        <w:ind w:left="360" w:hanging="259"/>
      </w:pPr>
      <w:r>
        <w:rPr>
          <w:b w:val="0"/>
        </w:rPr>
        <w:t>F-304-04 Participant IP Dispensing and Return Log</w:t>
      </w:r>
    </w:p>
    <w:p>
      <w:pPr>
        <w:pStyle w:val="ListBullet"/>
        <w:spacing w:after="40"/>
        <w:ind w:left="360" w:hanging="259"/>
      </w:pPr>
      <w:r>
        <w:rPr>
          <w:b w:val="0"/>
        </w:rPr>
        <w:t>F-304-02 Temperature Monitoring Log</w:t>
      </w:r>
    </w:p>
    <w:p>
      <w:pPr>
        <w:pStyle w:val="ListBullet"/>
        <w:spacing w:after="40"/>
        <w:ind w:left="360" w:hanging="259"/>
      </w:pPr>
      <w:r>
        <w:rPr>
          <w:b w:val="0"/>
        </w:rPr>
        <w:t>F-306-01 Note to File</w:t>
      </w:r>
    </w:p>
    <w:p>
      <w:pPr>
        <w:pStyle w:val="ListBullet"/>
        <w:spacing w:after="40"/>
        <w:ind w:left="360" w:hanging="259"/>
      </w:pPr>
      <w:r>
        <w:rPr>
          <w:b w:val="0"/>
        </w:rPr>
        <w:t>F-309-01 Participant Contact and Retention Log</w:t>
      </w:r>
    </w:p>
    <w:p>
      <w:pPr>
        <w:pStyle w:val="ListBullet"/>
        <w:spacing w:after="40"/>
        <w:ind w:left="360" w:hanging="259"/>
      </w:pPr>
      <w:r>
        <w:rPr>
          <w:b w:val="0"/>
        </w:rPr>
        <w:t>F-311-01 Specimen Processing and Shipment Log</w:t>
      </w:r>
    </w:p>
    <w:p>
      <w:pPr>
        <w:pStyle w:val="ListBullet"/>
        <w:spacing w:after="40"/>
        <w:ind w:left="360" w:hanging="259"/>
      </w:pPr>
      <w:r>
        <w:rPr>
          <w:b w:val="0"/>
        </w:rPr>
        <w:t>F-312-01 Equipment Inventory and Calibration Log</w:t>
      </w:r>
    </w:p>
    <w:p>
      <w:pPr>
        <w:pStyle w:val="ListBullet"/>
        <w:spacing w:after="40"/>
        <w:ind w:left="360" w:hanging="259"/>
      </w:pPr>
      <w:r>
        <w:rPr>
          <w:b w:val="0"/>
        </w:rPr>
        <w:t>F-401-01 Computerized System Inventory and Access Log</w:t>
      </w:r>
    </w:p>
    <w:p>
      <w:pPr>
        <w:pStyle w:val="ListBullet"/>
        <w:spacing w:after="40"/>
        <w:ind w:left="360" w:hanging="259"/>
      </w:pPr>
      <w:r>
        <w:rPr>
          <w:b w:val="0"/>
        </w:rPr>
        <w:t>F-402-01 Record Archiving and Retrieval Log</w:t>
      </w:r>
    </w:p>
    <w:p>
      <w:pPr>
        <w:pStyle w:val="ListBullet"/>
        <w:spacing w:after="40"/>
        <w:ind w:left="360" w:hanging="259"/>
      </w:pPr>
      <w:r>
        <w:rPr>
          <w:b w:val="0"/>
        </w:rPr>
        <w:t>F-600-01 Monitoring Visit Log</w:t>
      </w:r>
    </w:p>
    <w:p>
      <w:pPr>
        <w:pStyle w:val="ListBullet"/>
        <w:spacing w:after="40"/>
        <w:ind w:left="360" w:hanging="259"/>
      </w:pPr>
      <w:r>
        <w:rPr>
          <w:b w:val="0"/>
        </w:rPr>
        <w:t>F-600-02 Monitoring Follow-Up Action Tracker</w:t>
      </w:r>
    </w:p>
    <w:p>
      <w:pPr>
        <w:pStyle w:val="ListBullet"/>
        <w:spacing w:after="40"/>
        <w:ind w:left="360" w:hanging="259"/>
      </w:pPr>
      <w:r>
        <w:rPr>
          <w:b w:val="0"/>
        </w:rPr>
        <w:t>F-700-01 Internal QC Review Checklist</w:t>
      </w:r>
    </w:p>
    <w:p>
      <w:pPr>
        <w:pStyle w:val="ListBullet"/>
        <w:spacing w:after="40"/>
        <w:ind w:left="360" w:hanging="259"/>
      </w:pPr>
      <w:r>
        <w:rPr>
          <w:b w:val="0"/>
        </w:rPr>
        <w:t>F-703-02 CAPA Log</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SOP-05 Pre-Screening, Screening, Eligibility, Randomization and Blinding</w:t>
      </w:r>
    </w:p>
    <w:p>
      <w:pPr>
        <w:pStyle w:val="ListBullet"/>
        <w:spacing w:after="40"/>
        <w:ind w:left="360" w:hanging="259"/>
      </w:pPr>
      <w:r>
        <w:rPr>
          <w:b w:val="0"/>
        </w:rPr>
        <w:t>SOP-06 Investigational Product Management</w:t>
      </w:r>
    </w:p>
    <w:p>
      <w:pPr>
        <w:pStyle w:val="ListBullet"/>
        <w:spacing w:after="40"/>
        <w:ind w:left="360" w:hanging="259"/>
      </w:pPr>
      <w:r>
        <w:rPr>
          <w:b w:val="0"/>
        </w:rPr>
        <w:t>SOP-07 Source Documentation and EDC</w:t>
      </w:r>
    </w:p>
    <w:p>
      <w:pPr>
        <w:pStyle w:val="ListBullet"/>
        <w:spacing w:after="40"/>
        <w:ind w:left="360" w:hanging="259"/>
      </w:pPr>
      <w:r>
        <w:rPr>
          <w:b w:val="0"/>
        </w:rPr>
        <w:t>SOP-09 Safety Reporting (AEs, SAEs, IRB-Reportable Events, Pregnancy)</w:t>
      </w:r>
    </w:p>
    <w:p>
      <w:pPr>
        <w:pStyle w:val="ListBullet"/>
        <w:spacing w:after="40"/>
        <w:ind w:left="360" w:hanging="259"/>
      </w:pPr>
      <w:r>
        <w:rPr>
          <w:b w:val="0"/>
        </w:rPr>
        <w:t>SOP-10 Participant Retention, Withdrawal and Payments</w:t>
      </w:r>
    </w:p>
    <w:p>
      <w:pPr>
        <w:pStyle w:val="ListBullet"/>
        <w:spacing w:after="40"/>
        <w:ind w:left="360" w:hanging="259"/>
      </w:pPr>
      <w:r>
        <w:rPr>
          <w:b w:val="0"/>
        </w:rPr>
        <w:t>SOP-11 Specimens, Equipment and Laboratories</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SOP-13 Monitoring, Audits and Inspections</w:t>
      </w:r>
    </w:p>
    <w:p>
      <w:pPr>
        <w:pStyle w:val="ListBullet"/>
        <w:spacing w:after="40"/>
        <w:ind w:left="360" w:hanging="259"/>
      </w:pPr>
      <w:r>
        <w:rPr>
          <w:b w:val="0"/>
        </w:rPr>
        <w:t>SOP-16 Business Continuity and PI Coverage</w:t>
      </w:r>
    </w:p>
    <w:p>
      <w:pPr>
        <w:pStyle w:val="ListBullet"/>
        <w:spacing w:after="40"/>
        <w:ind w:left="360" w:hanging="259"/>
      </w:pPr>
      <w:r>
        <w:rPr>
          <w:b w:val="0"/>
        </w:rPr>
        <w:t>SOP-M2 Feasibility, Contracts, Budgets and Research Billing (if adopted)</w:t>
      </w:r>
    </w:p>
    <w:p>
      <w:pPr>
        <w:pStyle w:val="ListBullet"/>
        <w:spacing w:after="40"/>
        <w:ind w:left="360" w:hanging="259"/>
      </w:pPr>
      <w:r>
        <w:rPr>
          <w:b w:val="0"/>
        </w:rPr>
        <w:t>SOP-M6 Sponsor-Investigator Studies (IND/IDE Holder) (if adopted)</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312.59</w:t>
            </w:r>
          </w:p>
        </w:tc>
        <w:tc>
          <w:tcPr>
            <w:tcW w:type="dxa" w:w="6946"/>
          </w:tcPr>
          <w:p>
            <w:pPr>
              <w:spacing w:after="0"/>
            </w:pPr>
            <w:r>
              <w:rPr>
                <w:b w:val="0"/>
                <w:sz w:val="19"/>
              </w:rPr>
              <w:t>Disposition of unused supply of investigational drug</w:t>
            </w:r>
          </w:p>
        </w:tc>
      </w:tr>
      <w:tr>
        <w:trPr>
          <w:cantSplit w:val="true"/>
        </w:trPr>
        <w:tc>
          <w:tcPr>
            <w:tcW w:type="dxa" w:w="2701"/>
          </w:tcPr>
          <w:p>
            <w:pPr>
              <w:spacing w:after="0"/>
            </w:pPr>
            <w:r>
              <w:rPr>
                <w:b w:val="0"/>
                <w:sz w:val="19"/>
              </w:rPr>
              <w:t>21 CFR 312.62</w:t>
            </w:r>
          </w:p>
        </w:tc>
        <w:tc>
          <w:tcPr>
            <w:tcW w:type="dxa" w:w="6946"/>
          </w:tcPr>
          <w:p>
            <w:pPr>
              <w:spacing w:after="0"/>
            </w:pPr>
            <w:r>
              <w:rPr>
                <w:b w:val="0"/>
                <w:sz w:val="19"/>
              </w:rPr>
              <w:t>Investigator recordkeeping and record retention</w:t>
            </w:r>
          </w:p>
        </w:tc>
      </w:tr>
      <w:tr>
        <w:trPr>
          <w:cantSplit w:val="true"/>
        </w:trPr>
        <w:tc>
          <w:tcPr>
            <w:tcW w:type="dxa" w:w="2701"/>
          </w:tcPr>
          <w:p>
            <w:pPr>
              <w:spacing w:after="0"/>
            </w:pPr>
            <w:r>
              <w:rPr>
                <w:b w:val="0"/>
                <w:sz w:val="19"/>
              </w:rPr>
              <w:t>21 CFR 312.64(c), (d)</w:t>
            </w:r>
          </w:p>
        </w:tc>
        <w:tc>
          <w:tcPr>
            <w:tcW w:type="dxa" w:w="6946"/>
          </w:tcPr>
          <w:p>
            <w:pPr>
              <w:spacing w:after="0"/>
            </w:pPr>
            <w:r>
              <w:rPr>
                <w:b w:val="0"/>
                <w:sz w:val="19"/>
              </w:rPr>
              <w:t>Investigator reports: final report; financial disclosure</w:t>
            </w:r>
          </w:p>
        </w:tc>
      </w:tr>
      <w:tr>
        <w:trPr>
          <w:cantSplit w:val="true"/>
        </w:trPr>
        <w:tc>
          <w:tcPr>
            <w:tcW w:type="dxa" w:w="2701"/>
          </w:tcPr>
          <w:p>
            <w:pPr>
              <w:spacing w:after="0"/>
            </w:pPr>
            <w:r>
              <w:rPr>
                <w:b w:val="0"/>
                <w:sz w:val="19"/>
              </w:rPr>
              <w:t>21 CFR 812.46(c)</w:t>
            </w:r>
          </w:p>
        </w:tc>
        <w:tc>
          <w:tcPr>
            <w:tcW w:type="dxa" w:w="6946"/>
          </w:tcPr>
          <w:p>
            <w:pPr>
              <w:spacing w:after="0"/>
            </w:pPr>
            <w:r>
              <w:rPr>
                <w:b w:val="0"/>
                <w:sz w:val="19"/>
              </w:rPr>
              <w:t>Resumption of terminated studies</w:t>
            </w:r>
          </w:p>
        </w:tc>
      </w:tr>
      <w:tr>
        <w:trPr>
          <w:cantSplit w:val="true"/>
        </w:trPr>
        <w:tc>
          <w:tcPr>
            <w:tcW w:type="dxa" w:w="2701"/>
          </w:tcPr>
          <w:p>
            <w:pPr>
              <w:spacing w:after="0"/>
            </w:pPr>
            <w:r>
              <w:rPr>
                <w:b w:val="0"/>
                <w:sz w:val="19"/>
              </w:rPr>
              <w:t>21 CFR 812.110(d), (e)</w:t>
            </w:r>
          </w:p>
        </w:tc>
        <w:tc>
          <w:tcPr>
            <w:tcW w:type="dxa" w:w="6946"/>
          </w:tcPr>
          <w:p>
            <w:pPr>
              <w:spacing w:after="0"/>
            </w:pPr>
            <w:r>
              <w:rPr>
                <w:b w:val="0"/>
                <w:sz w:val="19"/>
              </w:rPr>
              <w:t>Investigator responsibilities: financial disclosure; disposing of device</w:t>
            </w:r>
          </w:p>
        </w:tc>
      </w:tr>
      <w:tr>
        <w:trPr>
          <w:cantSplit w:val="true"/>
        </w:trPr>
        <w:tc>
          <w:tcPr>
            <w:tcW w:type="dxa" w:w="2701"/>
          </w:tcPr>
          <w:p>
            <w:pPr>
              <w:spacing w:after="0"/>
            </w:pPr>
            <w:r>
              <w:rPr>
                <w:b w:val="0"/>
                <w:sz w:val="19"/>
              </w:rPr>
              <w:t>21 CFR 812.150(a)</w:t>
            </w:r>
          </w:p>
        </w:tc>
        <w:tc>
          <w:tcPr>
            <w:tcW w:type="dxa" w:w="6946"/>
          </w:tcPr>
          <w:p>
            <w:pPr>
              <w:spacing w:after="0"/>
            </w:pPr>
            <w:r>
              <w:rPr>
                <w:b w:val="0"/>
                <w:sz w:val="19"/>
              </w:rPr>
              <w:t>Investigator reports (devices)</w:t>
            </w:r>
          </w:p>
        </w:tc>
      </w:tr>
      <w:tr>
        <w:trPr>
          <w:cantSplit w:val="true"/>
        </w:trPr>
        <w:tc>
          <w:tcPr>
            <w:tcW w:type="dxa" w:w="2701"/>
          </w:tcPr>
          <w:p>
            <w:pPr>
              <w:spacing w:after="0"/>
            </w:pPr>
            <w:r>
              <w:rPr>
                <w:b w:val="0"/>
                <w:sz w:val="19"/>
              </w:rPr>
              <w:t>21 CFR 1304</w:t>
            </w:r>
          </w:p>
        </w:tc>
        <w:tc>
          <w:tcPr>
            <w:tcW w:type="dxa" w:w="6946"/>
          </w:tcPr>
          <w:p>
            <w:pPr>
              <w:spacing w:after="0"/>
            </w:pPr>
            <w:r>
              <w:rPr>
                <w:b w:val="0"/>
                <w:sz w:val="19"/>
              </w:rPr>
              <w:t>Records and reports of registrants (controlled substances)</w:t>
            </w:r>
          </w:p>
        </w:tc>
      </w:tr>
      <w:tr>
        <w:trPr>
          <w:cantSplit w:val="true"/>
        </w:trPr>
        <w:tc>
          <w:tcPr>
            <w:tcW w:type="dxa" w:w="2701"/>
          </w:tcPr>
          <w:p>
            <w:pPr>
              <w:spacing w:after="0"/>
            </w:pPr>
            <w:r>
              <w:rPr>
                <w:b w:val="0"/>
                <w:sz w:val="19"/>
              </w:rPr>
              <w:t>ICH E6(R3) Annex 1, 2.6</w:t>
            </w:r>
          </w:p>
        </w:tc>
        <w:tc>
          <w:tcPr>
            <w:tcW w:type="dxa" w:w="6946"/>
          </w:tcPr>
          <w:p>
            <w:pPr>
              <w:spacing w:after="0"/>
            </w:pPr>
            <w:r>
              <w:rPr>
                <w:b w:val="0"/>
                <w:sz w:val="19"/>
              </w:rPr>
              <w:t>Premature termination or suspension of a trial</w:t>
            </w:r>
          </w:p>
        </w:tc>
      </w:tr>
      <w:tr>
        <w:trPr>
          <w:cantSplit w:val="true"/>
        </w:trPr>
        <w:tc>
          <w:tcPr>
            <w:tcW w:type="dxa" w:w="2701"/>
          </w:tcPr>
          <w:p>
            <w:pPr>
              <w:spacing w:after="0"/>
            </w:pPr>
            <w:r>
              <w:rPr>
                <w:b w:val="0"/>
                <w:sz w:val="19"/>
              </w:rPr>
              <w:t>ICH E6(R3) Annex 1, 2.9</w:t>
            </w:r>
          </w:p>
        </w:tc>
        <w:tc>
          <w:tcPr>
            <w:tcW w:type="dxa" w:w="6946"/>
          </w:tcPr>
          <w:p>
            <w:pPr>
              <w:spacing w:after="0"/>
            </w:pPr>
            <w:r>
              <w:rPr>
                <w:b w:val="0"/>
                <w:sz w:val="19"/>
              </w:rPr>
              <w:t>End of participation in a clinical trial</w:t>
            </w:r>
          </w:p>
        </w:tc>
      </w:tr>
      <w:tr>
        <w:trPr>
          <w:cantSplit w:val="true"/>
        </w:trPr>
        <w:tc>
          <w:tcPr>
            <w:tcW w:type="dxa" w:w="2701"/>
          </w:tcPr>
          <w:p>
            <w:pPr>
              <w:spacing w:after="0"/>
            </w:pPr>
            <w:r>
              <w:rPr>
                <w:b w:val="0"/>
                <w:sz w:val="19"/>
              </w:rPr>
              <w:t>ICH E6(R3) Annex 1, 2.12 and 2.13</w:t>
            </w:r>
          </w:p>
        </w:tc>
        <w:tc>
          <w:tcPr>
            <w:tcW w:type="dxa" w:w="6946"/>
          </w:tcPr>
          <w:p>
            <w:pPr>
              <w:spacing w:after="0"/>
            </w:pPr>
            <w:r>
              <w:rPr>
                <w:b w:val="0"/>
                <w:sz w:val="19"/>
              </w:rPr>
              <w:t>Records; reports</w:t>
            </w:r>
          </w:p>
        </w:tc>
      </w:tr>
      <w:tr>
        <w:trPr>
          <w:cantSplit w:val="true"/>
        </w:trPr>
        <w:tc>
          <w:tcPr>
            <w:tcW w:type="dxa" w:w="2701"/>
          </w:tcPr>
          <w:p>
            <w:pPr>
              <w:spacing w:after="0"/>
            </w:pPr>
            <w:r>
              <w:rPr>
                <w:b w:val="0"/>
                <w:sz w:val="19"/>
              </w:rPr>
              <w:t>Reference Edition SOP-601</w:t>
            </w:r>
          </w:p>
        </w:tc>
        <w:tc>
          <w:tcPr>
            <w:tcW w:type="dxa" w:w="6946"/>
          </w:tcPr>
          <w:p>
            <w:pPr>
              <w:spacing w:after="0"/>
            </w:pPr>
            <w:r>
              <w:rPr>
                <w:b w:val="0"/>
                <w:sz w:val="19"/>
              </w:rPr>
              <w:t>Full text and background</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SOP-15 Study Closeout</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SOP-15 Study Closeout</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