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SOP-14</w:t>
      </w:r>
    </w:p>
    <w:p>
      <w:pPr>
        <w:pStyle w:val="Title"/>
        <w:pBdr>
          <w:bottom w:val="single" w:sz="12" w:space="1" w:color="1F3864"/>
        </w:pBdr>
        <w:spacing w:after="120"/>
      </w:pPr>
      <w:r>
        <w:rPr>
          <w:b w:val="0"/>
          <w:color w:val="1F3864"/>
          <w:sz w:val="36"/>
        </w:rPr>
        <w:t>Quality Control and Quality Review</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checks its own work: the site's single quality calendar, the study QC plan and consent QC sampling, the quarterly quality review, the annual internal audit and the annual management review. Findings that need corrective or preventive action move to SOP-08.</w:t>
      </w:r>
    </w:p>
    <w:p>
      <w:pPr>
        <w:pStyle w:val="Heading1"/>
      </w:pPr>
      <w:r>
        <w:t>2. Scope</w:t>
      </w:r>
    </w:p>
    <w:p>
      <w:pPr/>
      <w:r>
        <w:rPr>
          <w:b w:val="0"/>
        </w:rPr>
        <w:t xml:space="preserve">This SOP applies to all studies, locations and quality system processes at </w:t>
      </w:r>
      <w:r>
        <w:rPr>
          <w:b w:val="0"/>
          <w:highlight w:val="yellow"/>
        </w:rPr>
        <w:t>[SITE NAME]</w:t>
      </w:r>
      <w:r>
        <w:rPr>
          <w:b w:val="0"/>
        </w:rPr>
        <w:t>. Section 5.1 is the register of every recurring check in the Lean Edition, periodic and event-triggered, with the home SOP that holds each procedure.</w:t>
      </w:r>
    </w:p>
    <w:p>
      <w:pPr/>
      <w:r>
        <w:rPr>
          <w:b w:val="0"/>
        </w:rPr>
        <w:t>Out of scope: sponsor monitoring, sponsor and IRB audits and FDA inspections (SOP-13). Sponsor monitoring does not replace the site's own QC. The PI's medical review of data is an investigator duty, not QC.</w:t>
      </w:r>
    </w:p>
    <w:p>
      <w:pPr/>
      <w:r>
        <w:rPr>
          <w:b w:val="0"/>
        </w:rPr>
        <w:t>Where the protocol, sponsor or IRB sets a stricter requirement than this SOP, follow it.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Owns this SOP and the calendar, approves study QC plans, assigns reviewers, runs the quarterly quality review, plans and arranges the internal audit, and prepares the management review. Does not QC or audit their own work.</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Provides resources, approves the audit plan, chairs the management review and signs its minutes.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Remains responsible for oversight of delegated work, reviews QC and audit findings for their studies, and signs the study page of the quarterly review.</w:t>
            </w:r>
          </w:p>
        </w:tc>
      </w:tr>
      <w:tr>
        <w:trPr>
          <w:cantSplit w:val="true"/>
        </w:trPr>
        <w:tc>
          <w:tcPr>
            <w:tcW w:type="dxa" w:w="2701"/>
          </w:tcPr>
          <w:p>
            <w:pPr>
              <w:keepNext/>
              <w:spacing w:after="0"/>
            </w:pPr>
            <w:r>
              <w:rPr>
                <w:b w:val="0"/>
                <w:sz w:val="19"/>
              </w:rPr>
              <w:t>Independent reviewer (named in SOP-02)</w:t>
            </w:r>
          </w:p>
        </w:tc>
        <w:tc>
          <w:tcPr>
            <w:tcW w:type="dxa" w:w="6946"/>
          </w:tcPr>
          <w:p>
            <w:pPr>
              <w:keepNext/>
              <w:spacing w:after="0"/>
            </w:pPr>
            <w:r>
              <w:rPr>
                <w:b w:val="0"/>
                <w:sz w:val="19"/>
              </w:rPr>
              <w:t>Performs QC, audits and approvals that no one else at the site can do independently, including review of the Quality Lead's or Site Director's own work.</w:t>
            </w:r>
          </w:p>
        </w:tc>
      </w:tr>
      <w:tr>
        <w:trPr>
          <w:cantSplit w:val="true"/>
        </w:trPr>
        <w:tc>
          <w:tcPr>
            <w:tcW w:type="dxa" w:w="2701"/>
          </w:tcPr>
          <w:p>
            <w:pPr>
              <w:keepNext/>
              <w:spacing w:after="0"/>
            </w:pPr>
            <w:r>
              <w:rPr>
                <w:b w:val="0"/>
                <w:sz w:val="19"/>
              </w:rPr>
              <w:t>Lead CRC / Clinical Research Coordinator (CRC)</w:t>
            </w:r>
          </w:p>
        </w:tc>
        <w:tc>
          <w:tcPr>
            <w:tcW w:type="dxa" w:w="6946"/>
          </w:tcPr>
          <w:p>
            <w:pPr>
              <w:keepNext/>
              <w:spacing w:after="0"/>
            </w:pPr>
            <w:r>
              <w:rPr>
                <w:b w:val="0"/>
                <w:sz w:val="19"/>
              </w:rPr>
              <w:t>Performs QC of other staff members' work when trained and assigned, and corrects their own records under SOP-07.</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Cooperate with QC and audits and correct findings by the agreed date.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Quality Control (QC)</w:t>
            </w:r>
          </w:p>
        </w:tc>
        <w:tc>
          <w:tcPr>
            <w:tcW w:type="dxa" w:w="6946"/>
          </w:tcPr>
          <w:p>
            <w:pPr>
              <w:keepNext/>
              <w:spacing w:after="0"/>
            </w:pPr>
            <w:r>
              <w:rPr>
                <w:b w:val="0"/>
                <w:sz w:val="19"/>
              </w:rPr>
              <w:t>A planned check of a record by a trained person other than the one who created it (ICH E6(R3) Glossary, shortened).</w:t>
            </w:r>
          </w:p>
        </w:tc>
      </w:tr>
      <w:tr>
        <w:trPr>
          <w:cantSplit w:val="true"/>
        </w:trPr>
        <w:tc>
          <w:tcPr>
            <w:tcW w:type="dxa" w:w="2701"/>
          </w:tcPr>
          <w:p>
            <w:pPr>
              <w:keepNext/>
              <w:spacing w:after="0"/>
            </w:pPr>
            <w:r>
              <w:rPr>
                <w:b w:val="0"/>
                <w:sz w:val="19"/>
              </w:rPr>
              <w:t>Audit</w:t>
            </w:r>
          </w:p>
        </w:tc>
        <w:tc>
          <w:tcPr>
            <w:tcW w:type="dxa" w:w="6946"/>
          </w:tcPr>
          <w:p>
            <w:pPr>
              <w:keepNext/>
              <w:spacing w:after="0"/>
            </w:pPr>
            <w:r>
              <w:rPr>
                <w:b w:val="0"/>
                <w:sz w:val="19"/>
              </w:rPr>
              <w:t>A systematic and independent examination of trial activities and records against the protocol, SOPs, GCP and regulations (ICH E6(R3) Glossary).</w:t>
            </w:r>
          </w:p>
        </w:tc>
      </w:tr>
      <w:tr>
        <w:trPr>
          <w:cantSplit w:val="true"/>
        </w:trPr>
        <w:tc>
          <w:tcPr>
            <w:tcW w:type="dxa" w:w="2701"/>
          </w:tcPr>
          <w:p>
            <w:pPr>
              <w:keepNext/>
              <w:spacing w:after="0"/>
            </w:pPr>
            <w:r>
              <w:rPr>
                <w:b w:val="0"/>
                <w:sz w:val="19"/>
              </w:rPr>
              <w:t>Critical finding</w:t>
            </w:r>
          </w:p>
        </w:tc>
        <w:tc>
          <w:tcPr>
            <w:tcW w:type="dxa" w:w="6946"/>
          </w:tcPr>
          <w:p>
            <w:pPr>
              <w:keepNext/>
              <w:spacing w:after="0"/>
            </w:pPr>
            <w:r>
              <w:rPr>
                <w:b w:val="0"/>
                <w:sz w:val="19"/>
              </w:rPr>
              <w:t>A finding that affected or could affect participant rights, safety or well-being, or the reliability of critical data (for example no valid consent before a procedure, an ineligible participant dosed, an unreported SAE).</w:t>
            </w:r>
          </w:p>
        </w:tc>
      </w:tr>
      <w:tr>
        <w:trPr>
          <w:cantSplit w:val="true"/>
        </w:trPr>
        <w:tc>
          <w:tcPr>
            <w:tcW w:type="dxa" w:w="2701"/>
          </w:tcPr>
          <w:p>
            <w:pPr>
              <w:keepNext/>
              <w:spacing w:after="0"/>
            </w:pPr>
            <w:r>
              <w:rPr>
                <w:b w:val="0"/>
                <w:sz w:val="19"/>
              </w:rPr>
              <w:t>Major finding</w:t>
            </w:r>
          </w:p>
        </w:tc>
        <w:tc>
          <w:tcPr>
            <w:tcW w:type="dxa" w:w="6946"/>
          </w:tcPr>
          <w:p>
            <w:pPr>
              <w:keepNext/>
              <w:spacing w:after="0"/>
            </w:pPr>
            <w:r>
              <w:rPr>
                <w:b w:val="0"/>
                <w:sz w:val="19"/>
              </w:rPr>
              <w:t>A finding that could affect participant safety or data reliability if not corrected, or a pattern of minor findings (for example wrong consent version signed).</w:t>
            </w:r>
          </w:p>
        </w:tc>
      </w:tr>
      <w:tr>
        <w:trPr>
          <w:cantSplit w:val="true"/>
        </w:trPr>
        <w:tc>
          <w:tcPr>
            <w:tcW w:type="dxa" w:w="2701"/>
          </w:tcPr>
          <w:p>
            <w:pPr>
              <w:keepNext/>
              <w:spacing w:after="0"/>
            </w:pPr>
            <w:r>
              <w:rPr>
                <w:b w:val="0"/>
                <w:sz w:val="19"/>
              </w:rPr>
              <w:t>Minor finding</w:t>
            </w:r>
          </w:p>
        </w:tc>
        <w:tc>
          <w:tcPr>
            <w:tcW w:type="dxa" w:w="6946"/>
          </w:tcPr>
          <w:p>
            <w:pPr>
              <w:keepNext/>
              <w:spacing w:after="0"/>
            </w:pPr>
            <w:r>
              <w:rPr>
                <w:b w:val="0"/>
                <w:sz w:val="19"/>
              </w:rPr>
              <w:t>An isolated record-keeping gap with no expected effect on participants or data (for example a missing date that other records establish).</w:t>
            </w:r>
          </w:p>
        </w:tc>
      </w:tr>
      <w:tr>
        <w:trPr>
          <w:cantSplit w:val="true"/>
        </w:trPr>
        <w:tc>
          <w:tcPr>
            <w:tcW w:type="dxa" w:w="2701"/>
          </w:tcPr>
          <w:p>
            <w:pPr>
              <w:spacing w:after="0"/>
            </w:pPr>
            <w:r>
              <w:rPr>
                <w:b w:val="0"/>
                <w:sz w:val="19"/>
              </w:rPr>
              <w:t>Re-consent wave</w:t>
            </w:r>
          </w:p>
        </w:tc>
        <w:tc>
          <w:tcPr>
            <w:tcW w:type="dxa" w:w="6946"/>
          </w:tcPr>
          <w:p>
            <w:pPr>
              <w:spacing w:after="0"/>
            </w:pPr>
            <w:r>
              <w:rPr>
                <w:b w:val="0"/>
                <w:sz w:val="19"/>
              </w:rPr>
              <w:t>The set of re-consents triggered by one revised consent form in one study.</w:t>
            </w:r>
          </w:p>
        </w:tc>
      </w:tr>
    </w:tbl>
    <w:p>
      <w:pPr>
        <w:spacing w:after="40"/>
      </w:pPr>
    </w:p>
    <w:p>
      <w:pPr>
        <w:pStyle w:val="Heading1"/>
      </w:pPr>
      <w:r>
        <w:t>5. Procedure</w:t>
      </w:r>
    </w:p>
    <w:p>
      <w:pPr>
        <w:pStyle w:val="Heading2"/>
      </w:pPr>
      <w:r>
        <w:t>5.1 Quality calendar</w:t>
      </w:r>
    </w:p>
    <w:p>
      <w:pPr>
        <w:tabs>
          <w:tab w:pos="648" w:val="left"/>
        </w:tabs>
        <w:ind w:left="648" w:hanging="648"/>
      </w:pPr>
      <w:r>
        <w:rPr>
          <w:b/>
        </w:rPr>
        <w:t>5.1.1</w:t>
        <w:tab/>
      </w:r>
      <w:r>
        <w:rPr>
          <w:b w:val="0"/>
        </w:rPr>
        <w:t xml:space="preserve">Every recurring check in this library is listed in this section. Part A holds the checks run on a calendar cycle; Part B holds the checks repeated each time a recurring study event occurs. The home SOP holds the procedure; this section holds the cadence, owner and record. Steps that respond to a single event (an SAE, a deviation, an excursion, an amendment, a complaint) stay in their home SOPs and are not calendar items. The Quality Lead keeps the year's Part A schedule in the quality file at </w:t>
      </w:r>
      <w:r>
        <w:rPr>
          <w:b w:val="0"/>
          <w:highlight w:val="yellow"/>
        </w:rPr>
        <w:t>[QUALITY FILE LOCATION]</w:t>
      </w:r>
      <w:r>
        <w:rPr>
          <w:b w:val="0"/>
        </w:rPr>
        <w:t>; owners run Part B checks when the event occurs.</w:t>
      </w:r>
    </w:p>
    <w:p>
      <w:pPr>
        <w:ind w:left="648"/>
      </w:pPr>
      <w:r>
        <w:rPr>
          <w:b/>
        </w:rPr>
        <w:t>Part A. Periodic checks</w:t>
      </w:r>
    </w:p>
    <w:tbl>
      <w:tblPr>
        <w:tblStyle w:val="TableGrid"/>
        <w:tblW w:type="auto" w:w="0"/>
        <w:jc w:val="left"/>
        <w:tblLayout w:type="fixed"/>
        <w:tblLook w:firstColumn="1" w:firstRow="1" w:lastColumn="0" w:lastRow="0" w:noHBand="0" w:noVBand="1" w:val="04A0"/>
      </w:tblPr>
      <w:tblGrid>
        <w:gridCol w:w="2304"/>
        <w:gridCol w:w="2389"/>
        <w:gridCol w:w="2304"/>
        <w:gridCol w:w="1635"/>
        <w:gridCol w:w="1014"/>
      </w:tblGrid>
      <w:tr>
        <w:trPr>
          <w:tblHeader w:val="true"/>
        </w:trPr>
        <w:tc>
          <w:tcPr>
            <w:tcW w:type="dxa" w:w="2304"/>
            <w:shd w:val="clear" w:color="auto" w:fill="D9E2F3"/>
          </w:tcPr>
          <w:p>
            <w:pPr>
              <w:spacing w:after="0"/>
            </w:pPr>
            <w:r>
              <w:rPr>
                <w:b/>
                <w:sz w:val="19"/>
              </w:rPr>
              <w:t>Activity</w:t>
            </w:r>
          </w:p>
        </w:tc>
        <w:tc>
          <w:tcPr>
            <w:tcW w:type="dxa" w:w="2389"/>
            <w:shd w:val="clear" w:color="auto" w:fill="D9E2F3"/>
          </w:tcPr>
          <w:p>
            <w:pPr>
              <w:spacing w:after="0"/>
            </w:pPr>
            <w:r>
              <w:rPr>
                <w:b/>
                <w:sz w:val="19"/>
              </w:rPr>
              <w:t>Lean default</w:t>
            </w:r>
          </w:p>
        </w:tc>
        <w:tc>
          <w:tcPr>
            <w:tcW w:type="dxa" w:w="2304"/>
            <w:shd w:val="clear" w:color="auto" w:fill="D9E2F3"/>
          </w:tcPr>
          <w:p>
            <w:pPr>
              <w:spacing w:after="0"/>
            </w:pPr>
            <w:r>
              <w:rPr>
                <w:b/>
                <w:sz w:val="19"/>
              </w:rPr>
              <w:t>Owner</w:t>
            </w:r>
          </w:p>
        </w:tc>
        <w:tc>
          <w:tcPr>
            <w:tcW w:type="dxa" w:w="1635"/>
            <w:shd w:val="clear" w:color="auto" w:fill="D9E2F3"/>
          </w:tcPr>
          <w:p>
            <w:pPr>
              <w:spacing w:after="0"/>
            </w:pPr>
            <w:r>
              <w:rPr>
                <w:b/>
                <w:sz w:val="19"/>
              </w:rPr>
              <w:t>Record</w:t>
            </w:r>
          </w:p>
        </w:tc>
        <w:tc>
          <w:tcPr>
            <w:tcW w:type="dxa" w:w="1014"/>
            <w:shd w:val="clear" w:color="auto" w:fill="D9E2F3"/>
          </w:tcPr>
          <w:p>
            <w:pPr>
              <w:spacing w:after="0"/>
            </w:pPr>
            <w:r>
              <w:rPr>
                <w:b/>
                <w:sz w:val="19"/>
              </w:rPr>
              <w:t>Home SOP</w:t>
            </w:r>
          </w:p>
        </w:tc>
      </w:tr>
      <w:tr>
        <w:trPr>
          <w:cantSplit w:val="true"/>
        </w:trPr>
        <w:tc>
          <w:tcPr>
            <w:tcW w:type="dxa" w:w="2304"/>
          </w:tcPr>
          <w:p>
            <w:pPr>
              <w:spacing w:after="0"/>
            </w:pPr>
            <w:r>
              <w:rPr>
                <w:b w:val="0"/>
                <w:sz w:val="19"/>
              </w:rPr>
              <w:t>PI oversight record</w:t>
            </w:r>
          </w:p>
        </w:tc>
        <w:tc>
          <w:tcPr>
            <w:tcW w:type="dxa" w:w="2389"/>
          </w:tcPr>
          <w:p>
            <w:pPr>
              <w:spacing w:after="0"/>
            </w:pPr>
            <w:r>
              <w:rPr>
                <w:b w:val="0"/>
                <w:sz w:val="19"/>
              </w:rPr>
              <w:t>Per study at least quarterly and at each monitoring visit (dated note)</w:t>
            </w:r>
          </w:p>
        </w:tc>
        <w:tc>
          <w:tcPr>
            <w:tcW w:type="dxa" w:w="2304"/>
          </w:tcPr>
          <w:p>
            <w:pPr>
              <w:spacing w:after="0"/>
            </w:pPr>
            <w:r>
              <w:rPr>
                <w:b w:val="0"/>
                <w:sz w:val="19"/>
              </w:rPr>
              <w:t>PI</w:t>
            </w:r>
          </w:p>
        </w:tc>
        <w:tc>
          <w:tcPr>
            <w:tcW w:type="dxa" w:w="1635"/>
          </w:tcPr>
          <w:p>
            <w:pPr>
              <w:spacing w:after="0"/>
            </w:pPr>
            <w:r>
              <w:rPr>
                <w:b w:val="0"/>
                <w:sz w:val="19"/>
              </w:rPr>
              <w:t>F-306-01</w:t>
            </w:r>
          </w:p>
        </w:tc>
        <w:tc>
          <w:tcPr>
            <w:tcW w:type="dxa" w:w="1014"/>
          </w:tcPr>
          <w:p>
            <w:pPr>
              <w:spacing w:after="0"/>
            </w:pPr>
            <w:r>
              <w:rPr>
                <w:b w:val="0"/>
                <w:sz w:val="19"/>
              </w:rPr>
              <w:t>SOP-02, 5.6.3</w:t>
            </w:r>
          </w:p>
        </w:tc>
      </w:tr>
      <w:tr>
        <w:trPr>
          <w:cantSplit w:val="true"/>
        </w:trPr>
        <w:tc>
          <w:tcPr>
            <w:tcW w:type="dxa" w:w="2304"/>
          </w:tcPr>
          <w:p>
            <w:pPr>
              <w:spacing w:after="0"/>
            </w:pPr>
            <w:r>
              <w:rPr>
                <w:b w:val="0"/>
                <w:sz w:val="19"/>
              </w:rPr>
              <w:t>Log and metric review</w:t>
            </w:r>
          </w:p>
        </w:tc>
        <w:tc>
          <w:tcPr>
            <w:tcW w:type="dxa" w:w="2389"/>
          </w:tcPr>
          <w:p>
            <w:pPr>
              <w:spacing w:after="0"/>
            </w:pPr>
            <w:r>
              <w:rPr>
                <w:b w:val="0"/>
                <w:sz w:val="19"/>
              </w:rPr>
              <w:t>One quarterly quality review covering deviations, AEs/SAE timeliness, consent QC, CAPA, training, temperature, open monitoring actions, privacy incidents and complaints, missed independent-reviewer turnarounds, sponsor deadline calendar (SOP-M6, if adopted)</w:t>
            </w:r>
          </w:p>
        </w:tc>
        <w:tc>
          <w:tcPr>
            <w:tcW w:type="dxa" w:w="2304"/>
          </w:tcPr>
          <w:p>
            <w:pPr>
              <w:spacing w:after="0"/>
            </w:pPr>
            <w:r>
              <w:rPr>
                <w:b w:val="0"/>
                <w:sz w:val="19"/>
              </w:rPr>
              <w:t>Quality Lead</w:t>
            </w:r>
          </w:p>
        </w:tc>
        <w:tc>
          <w:tcPr>
            <w:tcW w:type="dxa" w:w="1635"/>
          </w:tcPr>
          <w:p>
            <w:pPr>
              <w:spacing w:after="0"/>
            </w:pPr>
            <w:r>
              <w:rPr>
                <w:b w:val="0"/>
                <w:sz w:val="19"/>
              </w:rPr>
              <w:t>Quarterly review record</w:t>
            </w:r>
          </w:p>
        </w:tc>
        <w:tc>
          <w:tcPr>
            <w:tcW w:type="dxa" w:w="1014"/>
          </w:tcPr>
          <w:p>
            <w:pPr>
              <w:spacing w:after="0"/>
            </w:pPr>
            <w:r>
              <w:rPr>
                <w:b w:val="0"/>
                <w:sz w:val="19"/>
              </w:rPr>
              <w:t>SOP-14, 5.6</w:t>
            </w:r>
          </w:p>
        </w:tc>
      </w:tr>
      <w:tr>
        <w:trPr>
          <w:cantSplit w:val="true"/>
        </w:trPr>
        <w:tc>
          <w:tcPr>
            <w:tcW w:type="dxa" w:w="2304"/>
          </w:tcPr>
          <w:p>
            <w:pPr>
              <w:spacing w:after="0"/>
            </w:pPr>
            <w:r>
              <w:rPr>
                <w:b w:val="0"/>
                <w:sz w:val="19"/>
              </w:rPr>
              <w:t>Internal audit</w:t>
            </w:r>
          </w:p>
        </w:tc>
        <w:tc>
          <w:tcPr>
            <w:tcW w:type="dxa" w:w="2389"/>
          </w:tcPr>
          <w:p>
            <w:pPr>
              <w:spacing w:after="0"/>
            </w:pPr>
            <w:r>
              <w:rPr>
                <w:b w:val="0"/>
                <w:sz w:val="19"/>
              </w:rPr>
              <w:t>One per year, alternating study and process, by the independent reviewer or an external auditor; includes the research-claims sample in any year the site billed insurance (SOP-M2, 5.9.12, if adopted)</w:t>
            </w:r>
          </w:p>
        </w:tc>
        <w:tc>
          <w:tcPr>
            <w:tcW w:type="dxa" w:w="2304"/>
          </w:tcPr>
          <w:p>
            <w:pPr>
              <w:spacing w:after="0"/>
            </w:pPr>
            <w:r>
              <w:rPr>
                <w:b w:val="0"/>
                <w:sz w:val="19"/>
              </w:rPr>
              <w:t>Quality Lead arranges</w:t>
            </w:r>
          </w:p>
        </w:tc>
        <w:tc>
          <w:tcPr>
            <w:tcW w:type="dxa" w:w="1635"/>
          </w:tcPr>
          <w:p>
            <w:pPr>
              <w:spacing w:after="0"/>
            </w:pPr>
            <w:r>
              <w:rPr>
                <w:b w:val="0"/>
                <w:sz w:val="19"/>
              </w:rPr>
              <w:t>F-700-02</w:t>
            </w:r>
          </w:p>
        </w:tc>
        <w:tc>
          <w:tcPr>
            <w:tcW w:type="dxa" w:w="1014"/>
          </w:tcPr>
          <w:p>
            <w:pPr>
              <w:spacing w:after="0"/>
            </w:pPr>
            <w:r>
              <w:rPr>
                <w:b w:val="0"/>
                <w:sz w:val="19"/>
              </w:rPr>
              <w:t>SOP-14, 5.7</w:t>
            </w:r>
          </w:p>
        </w:tc>
      </w:tr>
      <w:tr>
        <w:trPr>
          <w:cantSplit w:val="true"/>
        </w:trPr>
        <w:tc>
          <w:tcPr>
            <w:tcW w:type="dxa" w:w="2304"/>
          </w:tcPr>
          <w:p>
            <w:pPr>
              <w:spacing w:after="0"/>
            </w:pPr>
            <w:r>
              <w:rPr>
                <w:b w:val="0"/>
                <w:sz w:val="19"/>
              </w:rPr>
              <w:t>Management review</w:t>
            </w:r>
          </w:p>
        </w:tc>
        <w:tc>
          <w:tcPr>
            <w:tcW w:type="dxa" w:w="2389"/>
          </w:tcPr>
          <w:p>
            <w:pPr>
              <w:spacing w:after="0"/>
            </w:pPr>
            <w:r>
              <w:rPr>
                <w:b w:val="0"/>
                <w:sz w:val="19"/>
              </w:rPr>
              <w:t>Annual (may be combined with the Q4 quality review)</w:t>
            </w:r>
          </w:p>
        </w:tc>
        <w:tc>
          <w:tcPr>
            <w:tcW w:type="dxa" w:w="2304"/>
          </w:tcPr>
          <w:p>
            <w:pPr>
              <w:spacing w:after="0"/>
            </w:pPr>
            <w:r>
              <w:rPr>
                <w:b w:val="0"/>
                <w:sz w:val="19"/>
              </w:rPr>
              <w:t>Site Director</w:t>
            </w:r>
          </w:p>
        </w:tc>
        <w:tc>
          <w:tcPr>
            <w:tcW w:type="dxa" w:w="1635"/>
          </w:tcPr>
          <w:p>
            <w:pPr>
              <w:spacing w:after="0"/>
            </w:pPr>
            <w:r>
              <w:rPr>
                <w:b w:val="0"/>
                <w:sz w:val="19"/>
              </w:rPr>
              <w:t>Signed minutes</w:t>
            </w:r>
          </w:p>
        </w:tc>
        <w:tc>
          <w:tcPr>
            <w:tcW w:type="dxa" w:w="1014"/>
          </w:tcPr>
          <w:p>
            <w:pPr>
              <w:spacing w:after="0"/>
            </w:pPr>
            <w:r>
              <w:rPr>
                <w:b w:val="0"/>
                <w:sz w:val="19"/>
              </w:rPr>
              <w:t>SOP-14, 5.8</w:t>
            </w:r>
          </w:p>
        </w:tc>
      </w:tr>
      <w:tr>
        <w:trPr>
          <w:cantSplit w:val="true"/>
        </w:trPr>
        <w:tc>
          <w:tcPr>
            <w:tcW w:type="dxa" w:w="2304"/>
          </w:tcPr>
          <w:p>
            <w:pPr>
              <w:spacing w:after="0"/>
            </w:pPr>
            <w:r>
              <w:rPr>
                <w:b w:val="0"/>
                <w:sz w:val="19"/>
              </w:rPr>
              <w:t>Independent reviewer engagement</w:t>
            </w:r>
          </w:p>
        </w:tc>
        <w:tc>
          <w:tcPr>
            <w:tcW w:type="dxa" w:w="2389"/>
          </w:tcPr>
          <w:p>
            <w:pPr>
              <w:spacing w:after="0"/>
            </w:pPr>
            <w:r>
              <w:rPr>
                <w:b w:val="0"/>
                <w:sz w:val="19"/>
              </w:rPr>
              <w:t>Annual, at the management review: hours used, missed turnarounds, renewal</w:t>
            </w:r>
          </w:p>
        </w:tc>
        <w:tc>
          <w:tcPr>
            <w:tcW w:type="dxa" w:w="2304"/>
          </w:tcPr>
          <w:p>
            <w:pPr>
              <w:spacing w:after="0"/>
            </w:pPr>
            <w:r>
              <w:rPr>
                <w:b w:val="0"/>
                <w:sz w:val="19"/>
              </w:rPr>
              <w:t>Site Director</w:t>
            </w:r>
          </w:p>
        </w:tc>
        <w:tc>
          <w:tcPr>
            <w:tcW w:type="dxa" w:w="1635"/>
          </w:tcPr>
          <w:p>
            <w:pPr>
              <w:spacing w:after="0"/>
            </w:pPr>
            <w:r>
              <w:rPr>
                <w:b w:val="0"/>
                <w:sz w:val="19"/>
              </w:rPr>
              <w:t>Management review minutes</w:t>
            </w:r>
          </w:p>
        </w:tc>
        <w:tc>
          <w:tcPr>
            <w:tcW w:type="dxa" w:w="1014"/>
          </w:tcPr>
          <w:p>
            <w:pPr>
              <w:spacing w:after="0"/>
            </w:pPr>
            <w:r>
              <w:rPr>
                <w:b w:val="0"/>
                <w:sz w:val="19"/>
              </w:rPr>
              <w:t>SOP-02, 5.2.3; SOP-14, 5.8.2</w:t>
            </w:r>
          </w:p>
        </w:tc>
      </w:tr>
      <w:tr>
        <w:trPr>
          <w:cantSplit w:val="true"/>
        </w:trPr>
        <w:tc>
          <w:tcPr>
            <w:tcW w:type="dxa" w:w="2304"/>
          </w:tcPr>
          <w:p>
            <w:pPr>
              <w:spacing w:after="0"/>
            </w:pPr>
            <w:r>
              <w:rPr>
                <w:b w:val="0"/>
                <w:sz w:val="19"/>
              </w:rPr>
              <w:t>Appendix A and Regulatory Currency Note review</w:t>
            </w:r>
          </w:p>
        </w:tc>
        <w:tc>
          <w:tcPr>
            <w:tcW w:type="dxa" w:w="2389"/>
          </w:tcPr>
          <w:p>
            <w:pPr>
              <w:spacing w:after="0"/>
            </w:pPr>
            <w:r>
              <w:rPr>
                <w:b w:val="0"/>
                <w:sz w:val="19"/>
              </w:rPr>
              <w:t>Annual, at the management review</w:t>
            </w:r>
          </w:p>
        </w:tc>
        <w:tc>
          <w:tcPr>
            <w:tcW w:type="dxa" w:w="2304"/>
          </w:tcPr>
          <w:p>
            <w:pPr>
              <w:spacing w:after="0"/>
            </w:pPr>
            <w:r>
              <w:rPr>
                <w:b w:val="0"/>
                <w:sz w:val="19"/>
              </w:rPr>
              <w:t>Quality Lead</w:t>
            </w:r>
          </w:p>
        </w:tc>
        <w:tc>
          <w:tcPr>
            <w:tcW w:type="dxa" w:w="1635"/>
          </w:tcPr>
          <w:p>
            <w:pPr>
              <w:spacing w:after="0"/>
            </w:pPr>
            <w:r>
              <w:rPr>
                <w:b w:val="0"/>
                <w:sz w:val="19"/>
              </w:rPr>
              <w:t>Management review minutes</w:t>
            </w:r>
          </w:p>
        </w:tc>
        <w:tc>
          <w:tcPr>
            <w:tcW w:type="dxa" w:w="1014"/>
          </w:tcPr>
          <w:p>
            <w:pPr>
              <w:spacing w:after="0"/>
            </w:pPr>
            <w:r>
              <w:rPr>
                <w:b w:val="0"/>
                <w:sz w:val="19"/>
              </w:rPr>
              <w:t>SOP-14</w:t>
            </w:r>
          </w:p>
        </w:tc>
      </w:tr>
      <w:tr>
        <w:trPr>
          <w:cantSplit w:val="true"/>
        </w:trPr>
        <w:tc>
          <w:tcPr>
            <w:tcW w:type="dxa" w:w="2304"/>
          </w:tcPr>
          <w:p>
            <w:pPr>
              <w:spacing w:after="0"/>
            </w:pPr>
            <w:r>
              <w:rPr>
                <w:b w:val="0"/>
                <w:sz w:val="19"/>
              </w:rPr>
              <w:t>SOP periodic review</w:t>
            </w:r>
          </w:p>
        </w:tc>
        <w:tc>
          <w:tcPr>
            <w:tcW w:type="dxa" w:w="2389"/>
          </w:tcPr>
          <w:p>
            <w:pPr>
              <w:spacing w:after="0"/>
            </w:pPr>
            <w:r>
              <w:rPr>
                <w:b w:val="0"/>
                <w:sz w:val="19"/>
              </w:rPr>
              <w:t>Every 2 years</w:t>
            </w:r>
          </w:p>
        </w:tc>
        <w:tc>
          <w:tcPr>
            <w:tcW w:type="dxa" w:w="2304"/>
          </w:tcPr>
          <w:p>
            <w:pPr>
              <w:spacing w:after="0"/>
            </w:pPr>
            <w:r>
              <w:rPr>
                <w:b w:val="0"/>
                <w:sz w:val="19"/>
              </w:rPr>
              <w:t>Quality Lead</w:t>
            </w:r>
          </w:p>
        </w:tc>
        <w:tc>
          <w:tcPr>
            <w:tcW w:type="dxa" w:w="1635"/>
          </w:tcPr>
          <w:p>
            <w:pPr>
              <w:spacing w:after="0"/>
            </w:pPr>
            <w:r>
              <w:rPr>
                <w:b w:val="0"/>
                <w:sz w:val="19"/>
              </w:rPr>
              <w:t>F-100-03</w:t>
            </w:r>
          </w:p>
        </w:tc>
        <w:tc>
          <w:tcPr>
            <w:tcW w:type="dxa" w:w="1014"/>
          </w:tcPr>
          <w:p>
            <w:pPr>
              <w:spacing w:after="0"/>
            </w:pPr>
            <w:r>
              <w:rPr>
                <w:b w:val="0"/>
                <w:sz w:val="19"/>
              </w:rPr>
              <w:t>SOP-01, 5.5.1</w:t>
            </w:r>
          </w:p>
        </w:tc>
      </w:tr>
      <w:tr>
        <w:trPr>
          <w:cantSplit w:val="true"/>
        </w:trPr>
        <w:tc>
          <w:tcPr>
            <w:tcW w:type="dxa" w:w="2304"/>
          </w:tcPr>
          <w:p>
            <w:pPr>
              <w:spacing w:after="0"/>
            </w:pPr>
            <w:r>
              <w:rPr>
                <w:b w:val="0"/>
                <w:sz w:val="19"/>
              </w:rPr>
              <w:t>GCP refresher</w:t>
            </w:r>
          </w:p>
        </w:tc>
        <w:tc>
          <w:tcPr>
            <w:tcW w:type="dxa" w:w="2389"/>
          </w:tcPr>
          <w:p>
            <w:pPr>
              <w:spacing w:after="0"/>
            </w:pPr>
            <w:r>
              <w:rPr>
                <w:b w:val="0"/>
                <w:sz w:val="19"/>
              </w:rPr>
              <w:t>Every 3 years (sponsor convention, not regulation)</w:t>
            </w:r>
          </w:p>
        </w:tc>
        <w:tc>
          <w:tcPr>
            <w:tcW w:type="dxa" w:w="2304"/>
          </w:tcPr>
          <w:p>
            <w:pPr>
              <w:spacing w:after="0"/>
            </w:pPr>
            <w:r>
              <w:rPr>
                <w:b w:val="0"/>
                <w:sz w:val="19"/>
              </w:rPr>
              <w:t>All Research Staff on a delegation log</w:t>
            </w:r>
          </w:p>
        </w:tc>
        <w:tc>
          <w:tcPr>
            <w:tcW w:type="dxa" w:w="1635"/>
          </w:tcPr>
          <w:p>
            <w:pPr>
              <w:spacing w:after="0"/>
            </w:pPr>
            <w:r>
              <w:rPr>
                <w:b w:val="0"/>
                <w:sz w:val="19"/>
              </w:rPr>
              <w:t>F-103-01</w:t>
            </w:r>
          </w:p>
        </w:tc>
        <w:tc>
          <w:tcPr>
            <w:tcW w:type="dxa" w:w="1014"/>
          </w:tcPr>
          <w:p>
            <w:pPr>
              <w:spacing w:after="0"/>
            </w:pPr>
            <w:r>
              <w:rPr>
                <w:b w:val="0"/>
                <w:sz w:val="19"/>
              </w:rPr>
              <w:t>SOP-01, 5.9.2</w:t>
            </w:r>
          </w:p>
        </w:tc>
      </w:tr>
      <w:tr>
        <w:trPr>
          <w:cantSplit w:val="true"/>
        </w:trPr>
        <w:tc>
          <w:tcPr>
            <w:tcW w:type="dxa" w:w="2304"/>
          </w:tcPr>
          <w:p>
            <w:pPr>
              <w:spacing w:after="0"/>
            </w:pPr>
            <w:r>
              <w:rPr>
                <w:b w:val="0"/>
                <w:sz w:val="19"/>
              </w:rPr>
              <w:t>Human subjects protection training</w:t>
            </w:r>
          </w:p>
        </w:tc>
        <w:tc>
          <w:tcPr>
            <w:tcW w:type="dxa" w:w="2389"/>
          </w:tcPr>
          <w:p>
            <w:pPr>
              <w:spacing w:after="0"/>
            </w:pPr>
            <w:r>
              <w:rPr>
                <w:b w:val="0"/>
                <w:sz w:val="19"/>
              </w:rPr>
              <w:t>At the frequency the IRB, sponsor or funder sets; otherwise with the GCP refresher</w:t>
            </w:r>
          </w:p>
        </w:tc>
        <w:tc>
          <w:tcPr>
            <w:tcW w:type="dxa" w:w="2304"/>
          </w:tcPr>
          <w:p>
            <w:pPr>
              <w:spacing w:after="0"/>
            </w:pPr>
            <w:r>
              <w:rPr>
                <w:b w:val="0"/>
                <w:sz w:val="19"/>
              </w:rPr>
              <w:t>All Research Staff</w:t>
            </w:r>
          </w:p>
        </w:tc>
        <w:tc>
          <w:tcPr>
            <w:tcW w:type="dxa" w:w="1635"/>
          </w:tcPr>
          <w:p>
            <w:pPr>
              <w:spacing w:after="0"/>
            </w:pPr>
            <w:r>
              <w:rPr>
                <w:b w:val="0"/>
                <w:sz w:val="19"/>
              </w:rPr>
              <w:t>F-103-01</w:t>
            </w:r>
          </w:p>
        </w:tc>
        <w:tc>
          <w:tcPr>
            <w:tcW w:type="dxa" w:w="1014"/>
          </w:tcPr>
          <w:p>
            <w:pPr>
              <w:spacing w:after="0"/>
            </w:pPr>
            <w:r>
              <w:rPr>
                <w:b w:val="0"/>
                <w:sz w:val="19"/>
              </w:rPr>
              <w:t>SOP-01, 5.9.3</w:t>
            </w:r>
          </w:p>
        </w:tc>
      </w:tr>
      <w:tr>
        <w:trPr>
          <w:cantSplit w:val="true"/>
        </w:trPr>
        <w:tc>
          <w:tcPr>
            <w:tcW w:type="dxa" w:w="2304"/>
          </w:tcPr>
          <w:p>
            <w:pPr>
              <w:spacing w:after="0"/>
            </w:pPr>
            <w:r>
              <w:rPr>
                <w:b w:val="0"/>
                <w:sz w:val="19"/>
              </w:rPr>
              <w:t>Hazmat (DOT) shipping training</w:t>
            </w:r>
          </w:p>
        </w:tc>
        <w:tc>
          <w:tcPr>
            <w:tcW w:type="dxa" w:w="2389"/>
          </w:tcPr>
          <w:p>
            <w:pPr>
              <w:spacing w:after="0"/>
            </w:pPr>
            <w:r>
              <w:rPr>
                <w:b w:val="0"/>
                <w:sz w:val="19"/>
              </w:rPr>
              <w:t>Within 90 days of starting the function, then at least every 3 years</w:t>
            </w:r>
          </w:p>
        </w:tc>
        <w:tc>
          <w:tcPr>
            <w:tcW w:type="dxa" w:w="2304"/>
          </w:tcPr>
          <w:p>
            <w:pPr>
              <w:spacing w:after="0"/>
            </w:pPr>
            <w:r>
              <w:rPr>
                <w:b w:val="0"/>
                <w:sz w:val="19"/>
              </w:rPr>
              <w:t>Each person who packages or signs dangerous goods shipments</w:t>
            </w:r>
          </w:p>
        </w:tc>
        <w:tc>
          <w:tcPr>
            <w:tcW w:type="dxa" w:w="1635"/>
          </w:tcPr>
          <w:p>
            <w:pPr>
              <w:spacing w:after="0"/>
            </w:pPr>
            <w:r>
              <w:rPr>
                <w:b w:val="0"/>
                <w:sz w:val="19"/>
              </w:rPr>
              <w:t>F-103-01 and the DOT training record</w:t>
            </w:r>
          </w:p>
        </w:tc>
        <w:tc>
          <w:tcPr>
            <w:tcW w:type="dxa" w:w="1014"/>
          </w:tcPr>
          <w:p>
            <w:pPr>
              <w:spacing w:after="0"/>
            </w:pPr>
            <w:r>
              <w:rPr>
                <w:b w:val="0"/>
                <w:sz w:val="19"/>
              </w:rPr>
              <w:t>SOP-01, 5.9.9</w:t>
            </w:r>
          </w:p>
        </w:tc>
      </w:tr>
      <w:tr>
        <w:trPr>
          <w:cantSplit w:val="true"/>
        </w:trPr>
        <w:tc>
          <w:tcPr>
            <w:tcW w:type="dxa" w:w="2304"/>
          </w:tcPr>
          <w:p>
            <w:pPr>
              <w:spacing w:after="0"/>
            </w:pPr>
            <w:r>
              <w:rPr>
                <w:b w:val="0"/>
                <w:sz w:val="19"/>
              </w:rPr>
              <w:t>IATA shipping training</w:t>
            </w:r>
          </w:p>
        </w:tc>
        <w:tc>
          <w:tcPr>
            <w:tcW w:type="dxa" w:w="2389"/>
          </w:tcPr>
          <w:p>
            <w:pPr>
              <w:spacing w:after="0"/>
            </w:pPr>
            <w:r>
              <w:rPr>
                <w:b w:val="0"/>
                <w:sz w:val="19"/>
              </w:rPr>
              <w:t>Within 24 months of the previous training, for air shipments</w:t>
            </w:r>
          </w:p>
        </w:tc>
        <w:tc>
          <w:tcPr>
            <w:tcW w:type="dxa" w:w="2304"/>
          </w:tcPr>
          <w:p>
            <w:pPr>
              <w:spacing w:after="0"/>
            </w:pPr>
            <w:r>
              <w:rPr>
                <w:b w:val="0"/>
                <w:sz w:val="19"/>
              </w:rPr>
              <w:t>Same</w:t>
            </w:r>
          </w:p>
        </w:tc>
        <w:tc>
          <w:tcPr>
            <w:tcW w:type="dxa" w:w="1635"/>
          </w:tcPr>
          <w:p>
            <w:pPr>
              <w:spacing w:after="0"/>
            </w:pPr>
            <w:r>
              <w:rPr>
                <w:b w:val="0"/>
                <w:sz w:val="19"/>
              </w:rPr>
              <w:t>F-103-01</w:t>
            </w:r>
          </w:p>
        </w:tc>
        <w:tc>
          <w:tcPr>
            <w:tcW w:type="dxa" w:w="1014"/>
          </w:tcPr>
          <w:p>
            <w:pPr>
              <w:spacing w:after="0"/>
            </w:pPr>
            <w:r>
              <w:rPr>
                <w:b w:val="0"/>
                <w:sz w:val="19"/>
              </w:rPr>
              <w:t>SOP-01, 5.9.9</w:t>
            </w:r>
          </w:p>
        </w:tc>
      </w:tr>
      <w:tr>
        <w:trPr>
          <w:cantSplit w:val="true"/>
        </w:trPr>
        <w:tc>
          <w:tcPr>
            <w:tcW w:type="dxa" w:w="2304"/>
          </w:tcPr>
          <w:p>
            <w:pPr>
              <w:spacing w:after="0"/>
            </w:pPr>
            <w:r>
              <w:rPr>
                <w:b w:val="0"/>
                <w:sz w:val="19"/>
              </w:rPr>
              <w:t>Bloodborne pathogens training</w:t>
            </w:r>
          </w:p>
        </w:tc>
        <w:tc>
          <w:tcPr>
            <w:tcW w:type="dxa" w:w="2389"/>
          </w:tcPr>
          <w:p>
            <w:pPr>
              <w:spacing w:after="0"/>
            </w:pPr>
            <w:r>
              <w:rPr>
                <w:b w:val="0"/>
                <w:sz w:val="19"/>
              </w:rPr>
              <w:t>At assignment and at least annually for staff with occupational exposure (29 CFR 1910.1030(g)(2))</w:t>
            </w:r>
          </w:p>
        </w:tc>
        <w:tc>
          <w:tcPr>
            <w:tcW w:type="dxa" w:w="2304"/>
          </w:tcPr>
          <w:p>
            <w:pPr>
              <w:spacing w:after="0"/>
            </w:pPr>
            <w:r>
              <w:rPr>
                <w:b w:val="0"/>
                <w:sz w:val="19"/>
              </w:rPr>
              <w:t>Quality Lead arranges</w:t>
            </w:r>
          </w:p>
        </w:tc>
        <w:tc>
          <w:tcPr>
            <w:tcW w:type="dxa" w:w="1635"/>
          </w:tcPr>
          <w:p>
            <w:pPr>
              <w:spacing w:after="0"/>
            </w:pPr>
            <w:r>
              <w:rPr>
                <w:b w:val="0"/>
                <w:sz w:val="19"/>
              </w:rPr>
              <w:t>F-103-01, certificate in the qualification file</w:t>
            </w:r>
          </w:p>
        </w:tc>
        <w:tc>
          <w:tcPr>
            <w:tcW w:type="dxa" w:w="1014"/>
          </w:tcPr>
          <w:p>
            <w:pPr>
              <w:spacing w:after="0"/>
            </w:pPr>
            <w:r>
              <w:rPr>
                <w:b w:val="0"/>
                <w:sz w:val="19"/>
              </w:rPr>
              <w:t>SOP-01, 5.8.1</w:t>
            </w:r>
          </w:p>
        </w:tc>
      </w:tr>
      <w:tr>
        <w:trPr>
          <w:cantSplit w:val="true"/>
        </w:trPr>
        <w:tc>
          <w:tcPr>
            <w:tcW w:type="dxa" w:w="2304"/>
          </w:tcPr>
          <w:p>
            <w:pPr>
              <w:spacing w:after="0"/>
            </w:pPr>
            <w:r>
              <w:rPr>
                <w:b w:val="0"/>
                <w:sz w:val="19"/>
              </w:rPr>
              <w:t>CV currency</w:t>
            </w:r>
          </w:p>
        </w:tc>
        <w:tc>
          <w:tcPr>
            <w:tcW w:type="dxa" w:w="2389"/>
          </w:tcPr>
          <w:p>
            <w:pPr>
              <w:spacing w:after="0"/>
            </w:pPr>
            <w:r>
              <w:rPr>
                <w:b w:val="0"/>
                <w:sz w:val="19"/>
              </w:rPr>
              <w:t>CV current within 2 years or the sponsor's limit, and updated when position, license or research role changes</w:t>
            </w:r>
          </w:p>
        </w:tc>
        <w:tc>
          <w:tcPr>
            <w:tcW w:type="dxa" w:w="2304"/>
          </w:tcPr>
          <w:p>
            <w:pPr>
              <w:spacing w:after="0"/>
            </w:pPr>
            <w:r>
              <w:rPr>
                <w:b w:val="0"/>
                <w:sz w:val="19"/>
              </w:rPr>
              <w:t>Each staff member; Quality Lead checks</w:t>
            </w:r>
          </w:p>
        </w:tc>
        <w:tc>
          <w:tcPr>
            <w:tcW w:type="dxa" w:w="1635"/>
          </w:tcPr>
          <w:p>
            <w:pPr>
              <w:spacing w:after="0"/>
            </w:pPr>
            <w:r>
              <w:rPr>
                <w:b w:val="0"/>
                <w:sz w:val="19"/>
              </w:rPr>
              <w:t>Qualification file (F-103-02)</w:t>
            </w:r>
          </w:p>
        </w:tc>
        <w:tc>
          <w:tcPr>
            <w:tcW w:type="dxa" w:w="1014"/>
          </w:tcPr>
          <w:p>
            <w:pPr>
              <w:spacing w:after="0"/>
            </w:pPr>
            <w:r>
              <w:rPr>
                <w:b w:val="0"/>
                <w:sz w:val="19"/>
              </w:rPr>
              <w:t>SOP-01, 5.8.1</w:t>
            </w:r>
          </w:p>
        </w:tc>
      </w:tr>
      <w:tr>
        <w:trPr>
          <w:cantSplit w:val="true"/>
        </w:trPr>
        <w:tc>
          <w:tcPr>
            <w:tcW w:type="dxa" w:w="2304"/>
          </w:tcPr>
          <w:p>
            <w:pPr>
              <w:spacing w:after="0"/>
            </w:pPr>
            <w:r>
              <w:rPr>
                <w:b w:val="0"/>
                <w:sz w:val="19"/>
              </w:rPr>
              <w:t>License and certification expiry</w:t>
            </w:r>
          </w:p>
        </w:tc>
        <w:tc>
          <w:tcPr>
            <w:tcW w:type="dxa" w:w="2389"/>
          </w:tcPr>
          <w:p>
            <w:pPr>
              <w:spacing w:after="0"/>
            </w:pPr>
            <w:r>
              <w:rPr>
                <w:b w:val="0"/>
                <w:sz w:val="19"/>
              </w:rPr>
              <w:t>Reminder 60 calendar days before each expiry; dependent tasks stop on lapse</w:t>
            </w:r>
          </w:p>
        </w:tc>
        <w:tc>
          <w:tcPr>
            <w:tcW w:type="dxa" w:w="2304"/>
          </w:tcPr>
          <w:p>
            <w:pPr>
              <w:spacing w:after="0"/>
            </w:pPr>
            <w:r>
              <w:rPr>
                <w:b w:val="0"/>
                <w:sz w:val="19"/>
              </w:rPr>
              <w:t>Quality Lead</w:t>
            </w:r>
          </w:p>
        </w:tc>
        <w:tc>
          <w:tcPr>
            <w:tcW w:type="dxa" w:w="1635"/>
          </w:tcPr>
          <w:p>
            <w:pPr>
              <w:spacing w:after="0"/>
            </w:pPr>
            <w:r>
              <w:rPr>
                <w:b w:val="0"/>
                <w:sz w:val="19"/>
              </w:rPr>
              <w:t>F-103-02</w:t>
            </w:r>
          </w:p>
        </w:tc>
        <w:tc>
          <w:tcPr>
            <w:tcW w:type="dxa" w:w="1014"/>
          </w:tcPr>
          <w:p>
            <w:pPr>
              <w:spacing w:after="0"/>
            </w:pPr>
            <w:r>
              <w:rPr>
                <w:b w:val="0"/>
                <w:sz w:val="19"/>
              </w:rPr>
              <w:t>SOP-01, 5.8.2</w:t>
            </w:r>
          </w:p>
        </w:tc>
      </w:tr>
      <w:tr>
        <w:trPr>
          <w:cantSplit w:val="true"/>
        </w:trPr>
        <w:tc>
          <w:tcPr>
            <w:tcW w:type="dxa" w:w="2304"/>
          </w:tcPr>
          <w:p>
            <w:pPr>
              <w:spacing w:after="0"/>
            </w:pPr>
            <w:r>
              <w:rPr>
                <w:b w:val="0"/>
                <w:sz w:val="19"/>
              </w:rPr>
              <w:t>Debarment/exclusion screen</w:t>
            </w:r>
          </w:p>
        </w:tc>
        <w:tc>
          <w:tcPr>
            <w:tcW w:type="dxa" w:w="2389"/>
          </w:tcPr>
          <w:p>
            <w:pPr>
              <w:spacing w:after="0"/>
            </w:pPr>
            <w:r>
              <w:rPr>
                <w:b w:val="0"/>
                <w:sz w:val="19"/>
              </w:rPr>
              <w:t>At hire and annually (site practice)</w:t>
            </w:r>
          </w:p>
        </w:tc>
        <w:tc>
          <w:tcPr>
            <w:tcW w:type="dxa" w:w="2304"/>
          </w:tcPr>
          <w:p>
            <w:pPr>
              <w:spacing w:after="0"/>
            </w:pPr>
            <w:r>
              <w:rPr>
                <w:b w:val="0"/>
                <w:sz w:val="19"/>
              </w:rPr>
              <w:t>Quality Lead</w:t>
            </w:r>
          </w:p>
        </w:tc>
        <w:tc>
          <w:tcPr>
            <w:tcW w:type="dxa" w:w="1635"/>
          </w:tcPr>
          <w:p>
            <w:pPr>
              <w:spacing w:after="0"/>
            </w:pPr>
            <w:r>
              <w:rPr>
                <w:b w:val="0"/>
                <w:sz w:val="19"/>
              </w:rPr>
              <w:t>F-103-02</w:t>
            </w:r>
          </w:p>
        </w:tc>
        <w:tc>
          <w:tcPr>
            <w:tcW w:type="dxa" w:w="1014"/>
          </w:tcPr>
          <w:p>
            <w:pPr>
              <w:spacing w:after="0"/>
            </w:pPr>
            <w:r>
              <w:rPr>
                <w:b w:val="0"/>
                <w:sz w:val="19"/>
              </w:rPr>
              <w:t>SOP-01, 5.8.3</w:t>
            </w:r>
          </w:p>
        </w:tc>
      </w:tr>
      <w:tr>
        <w:trPr>
          <w:cantSplit w:val="true"/>
        </w:trPr>
        <w:tc>
          <w:tcPr>
            <w:tcW w:type="dxa" w:w="2304"/>
          </w:tcPr>
          <w:p>
            <w:pPr>
              <w:spacing w:after="0"/>
            </w:pPr>
            <w:r>
              <w:rPr>
                <w:b w:val="0"/>
                <w:sz w:val="19"/>
              </w:rPr>
              <w:t>Conflict of interest disclosure</w:t>
            </w:r>
          </w:p>
        </w:tc>
        <w:tc>
          <w:tcPr>
            <w:tcW w:type="dxa" w:w="2389"/>
          </w:tcPr>
          <w:p>
            <w:pPr>
              <w:spacing w:after="0"/>
            </w:pPr>
            <w:r>
              <w:rPr>
                <w:b w:val="0"/>
                <w:sz w:val="19"/>
              </w:rPr>
              <w:t>At hire, annually with the debarment screen, within 30 calendar days of a new interest, and before a study involving the interest</w:t>
            </w:r>
          </w:p>
        </w:tc>
        <w:tc>
          <w:tcPr>
            <w:tcW w:type="dxa" w:w="2304"/>
          </w:tcPr>
          <w:p>
            <w:pPr>
              <w:spacing w:after="0"/>
            </w:pPr>
            <w:r>
              <w:rPr>
                <w:b w:val="0"/>
                <w:sz w:val="19"/>
              </w:rPr>
              <w:t>Research staff, owners and directors; Site Director for the site's own interests</w:t>
            </w:r>
          </w:p>
        </w:tc>
        <w:tc>
          <w:tcPr>
            <w:tcW w:type="dxa" w:w="1635"/>
          </w:tcPr>
          <w:p>
            <w:pPr>
              <w:spacing w:after="0"/>
            </w:pPr>
            <w:r>
              <w:rPr>
                <w:b w:val="0"/>
                <w:sz w:val="19"/>
              </w:rPr>
              <w:t>F-104-01</w:t>
            </w:r>
          </w:p>
        </w:tc>
        <w:tc>
          <w:tcPr>
            <w:tcW w:type="dxa" w:w="1014"/>
          </w:tcPr>
          <w:p>
            <w:pPr>
              <w:spacing w:after="0"/>
            </w:pPr>
            <w:r>
              <w:rPr>
                <w:b w:val="0"/>
                <w:sz w:val="19"/>
              </w:rPr>
              <w:t>SOP-02, 5.8.5</w:t>
            </w:r>
          </w:p>
        </w:tc>
      </w:tr>
      <w:tr>
        <w:trPr>
          <w:cantSplit w:val="true"/>
        </w:trPr>
        <w:tc>
          <w:tcPr>
            <w:tcW w:type="dxa" w:w="2304"/>
          </w:tcPr>
          <w:p>
            <w:pPr>
              <w:spacing w:after="0"/>
            </w:pPr>
            <w:r>
              <w:rPr>
                <w:b w:val="0"/>
                <w:sz w:val="19"/>
              </w:rPr>
              <w:t>IRB continuing review</w:t>
            </w:r>
          </w:p>
        </w:tc>
        <w:tc>
          <w:tcPr>
            <w:tcW w:type="dxa" w:w="2389"/>
          </w:tcPr>
          <w:p>
            <w:pPr>
              <w:spacing w:after="0"/>
            </w:pPr>
            <w:r>
              <w:rPr>
                <w:b w:val="0"/>
                <w:sz w:val="19"/>
              </w:rPr>
              <w:t>At least yearly for each FDA-regulated study, including follow-up, until IRB closure; reminders 60 and 30 days before the IRB deadline</w:t>
            </w:r>
          </w:p>
        </w:tc>
        <w:tc>
          <w:tcPr>
            <w:tcW w:type="dxa" w:w="2304"/>
          </w:tcPr>
          <w:p>
            <w:pPr>
              <w:spacing w:after="0"/>
            </w:pPr>
            <w:r>
              <w:rPr>
                <w:b w:val="0"/>
                <w:sz w:val="19"/>
              </w:rPr>
              <w:t>Regulatory Coordinator</w:t>
            </w:r>
          </w:p>
        </w:tc>
        <w:tc>
          <w:tcPr>
            <w:tcW w:type="dxa" w:w="1635"/>
          </w:tcPr>
          <w:p>
            <w:pPr>
              <w:spacing w:after="0"/>
            </w:pPr>
            <w:r>
              <w:rPr>
                <w:b w:val="0"/>
                <w:sz w:val="19"/>
                <w:highlight w:val="yellow"/>
              </w:rPr>
              <w:t>[IRB TRACKER]</w:t>
            </w:r>
          </w:p>
        </w:tc>
        <w:tc>
          <w:tcPr>
            <w:tcW w:type="dxa" w:w="1014"/>
          </w:tcPr>
          <w:p>
            <w:pPr>
              <w:spacing w:after="0"/>
            </w:pPr>
            <w:r>
              <w:rPr>
                <w:b w:val="0"/>
                <w:sz w:val="19"/>
              </w:rPr>
              <w:t>SOP-03, 5.4</w:t>
            </w:r>
          </w:p>
        </w:tc>
      </w:tr>
      <w:tr>
        <w:trPr>
          <w:cantSplit w:val="true"/>
        </w:trPr>
        <w:tc>
          <w:tcPr>
            <w:tcW w:type="dxa" w:w="2304"/>
          </w:tcPr>
          <w:p>
            <w:pPr>
              <w:spacing w:after="0"/>
            </w:pPr>
            <w:r>
              <w:rPr>
                <w:b w:val="0"/>
                <w:sz w:val="19"/>
              </w:rPr>
              <w:t>Temperature review</w:t>
            </w:r>
          </w:p>
        </w:tc>
        <w:tc>
          <w:tcPr>
            <w:tcW w:type="dxa" w:w="2389"/>
          </w:tcPr>
          <w:p>
            <w:pPr>
              <w:spacing w:after="0"/>
            </w:pPr>
            <w:r>
              <w:rPr>
                <w:b w:val="0"/>
                <w:sz w:val="19"/>
              </w:rPr>
              <w:t>Each business day for every storage location: review and sign the monitoring system's daily report, or read, record and reset the min/max device; min/max locations also read on reopening</w:t>
            </w:r>
          </w:p>
        </w:tc>
        <w:tc>
          <w:tcPr>
            <w:tcW w:type="dxa" w:w="2304"/>
          </w:tcPr>
          <w:p>
            <w:pPr>
              <w:spacing w:after="0"/>
            </w:pPr>
            <w:r>
              <w:rPr>
                <w:b w:val="0"/>
                <w:sz w:val="19"/>
              </w:rPr>
              <w:t>IP Manager or delegate</w:t>
            </w:r>
          </w:p>
        </w:tc>
        <w:tc>
          <w:tcPr>
            <w:tcW w:type="dxa" w:w="1635"/>
          </w:tcPr>
          <w:p>
            <w:pPr>
              <w:spacing w:after="0"/>
            </w:pPr>
            <w:r>
              <w:rPr>
                <w:b w:val="0"/>
                <w:sz w:val="19"/>
              </w:rPr>
              <w:t>F-304-02 or the signed system report</w:t>
            </w:r>
          </w:p>
        </w:tc>
        <w:tc>
          <w:tcPr>
            <w:tcW w:type="dxa" w:w="1014"/>
          </w:tcPr>
          <w:p>
            <w:pPr>
              <w:spacing w:after="0"/>
            </w:pPr>
            <w:r>
              <w:rPr>
                <w:b w:val="0"/>
                <w:sz w:val="19"/>
              </w:rPr>
              <w:t>SOP-06, 5.2.2 and 5.2.3</w:t>
            </w:r>
          </w:p>
        </w:tc>
      </w:tr>
      <w:tr>
        <w:trPr>
          <w:cantSplit w:val="true"/>
        </w:trPr>
        <w:tc>
          <w:tcPr>
            <w:tcW w:type="dxa" w:w="2304"/>
          </w:tcPr>
          <w:p>
            <w:pPr>
              <w:spacing w:after="0"/>
            </w:pPr>
            <w:r>
              <w:rPr>
                <w:b w:val="0"/>
                <w:sz w:val="19"/>
              </w:rPr>
              <w:t>DEA biennial inventory</w:t>
            </w:r>
          </w:p>
        </w:tc>
        <w:tc>
          <w:tcPr>
            <w:tcW w:type="dxa" w:w="2389"/>
          </w:tcPr>
          <w:p>
            <w:pPr>
              <w:spacing w:after="0"/>
            </w:pPr>
            <w:r>
              <w:rPr>
                <w:b w:val="0"/>
                <w:sz w:val="19"/>
              </w:rPr>
              <w:t>Every 2 years, for controlled-substance IP</w:t>
            </w:r>
          </w:p>
        </w:tc>
        <w:tc>
          <w:tcPr>
            <w:tcW w:type="dxa" w:w="2304"/>
          </w:tcPr>
          <w:p>
            <w:pPr>
              <w:spacing w:after="0"/>
            </w:pPr>
            <w:r>
              <w:rPr>
                <w:b w:val="0"/>
                <w:sz w:val="19"/>
              </w:rPr>
              <w:t>IP Manager</w:t>
            </w:r>
          </w:p>
        </w:tc>
        <w:tc>
          <w:tcPr>
            <w:tcW w:type="dxa" w:w="1635"/>
          </w:tcPr>
          <w:p>
            <w:pPr>
              <w:spacing w:after="0"/>
            </w:pPr>
            <w:r>
              <w:rPr>
                <w:b w:val="0"/>
                <w:sz w:val="19"/>
              </w:rPr>
              <w:t>DEA inventory record</w:t>
            </w:r>
          </w:p>
        </w:tc>
        <w:tc>
          <w:tcPr>
            <w:tcW w:type="dxa" w:w="1014"/>
          </w:tcPr>
          <w:p>
            <w:pPr>
              <w:spacing w:after="0"/>
            </w:pPr>
            <w:r>
              <w:rPr>
                <w:b w:val="0"/>
                <w:sz w:val="19"/>
              </w:rPr>
              <w:t>SOP-06, 5.9.3</w:t>
            </w:r>
          </w:p>
        </w:tc>
      </w:tr>
      <w:tr>
        <w:trPr>
          <w:cantSplit w:val="true"/>
        </w:trPr>
        <w:tc>
          <w:tcPr>
            <w:tcW w:type="dxa" w:w="2304"/>
          </w:tcPr>
          <w:p>
            <w:pPr>
              <w:spacing w:after="0"/>
            </w:pPr>
            <w:r>
              <w:rPr>
                <w:b w:val="0"/>
                <w:sz w:val="19"/>
              </w:rPr>
              <w:t>Equipment calibration and preventive maintenance</w:t>
            </w:r>
          </w:p>
        </w:tc>
        <w:tc>
          <w:tcPr>
            <w:tcW w:type="dxa" w:w="2389"/>
          </w:tcPr>
          <w:p>
            <w:pPr>
              <w:spacing w:after="0"/>
            </w:pPr>
            <w:r>
              <w:rPr>
                <w:b w:val="0"/>
                <w:sz w:val="19"/>
              </w:rPr>
              <w:t>Protocol or sponsor requirement, otherwise manufacturer's instructions, otherwise annual; emergency equipment as the manufacturer specifies</w:t>
            </w:r>
          </w:p>
        </w:tc>
        <w:tc>
          <w:tcPr>
            <w:tcW w:type="dxa" w:w="2304"/>
          </w:tcPr>
          <w:p>
            <w:pPr>
              <w:spacing w:after="0"/>
            </w:pPr>
            <w:r>
              <w:rPr>
                <w:b w:val="0"/>
                <w:sz w:val="19"/>
              </w:rPr>
              <w:t>Quality Lead</w:t>
            </w:r>
          </w:p>
        </w:tc>
        <w:tc>
          <w:tcPr>
            <w:tcW w:type="dxa" w:w="1635"/>
          </w:tcPr>
          <w:p>
            <w:pPr>
              <w:spacing w:after="0"/>
            </w:pPr>
            <w:r>
              <w:rPr>
                <w:b w:val="0"/>
                <w:sz w:val="19"/>
              </w:rPr>
              <w:t>F-312-01 and certificates</w:t>
            </w:r>
          </w:p>
        </w:tc>
        <w:tc>
          <w:tcPr>
            <w:tcW w:type="dxa" w:w="1014"/>
          </w:tcPr>
          <w:p>
            <w:pPr>
              <w:spacing w:after="0"/>
            </w:pPr>
            <w:r>
              <w:rPr>
                <w:b w:val="0"/>
                <w:sz w:val="19"/>
              </w:rPr>
              <w:t>SOP-11, 5.7.3</w:t>
            </w:r>
          </w:p>
        </w:tc>
      </w:tr>
      <w:tr>
        <w:trPr>
          <w:cantSplit w:val="true"/>
        </w:trPr>
        <w:tc>
          <w:tcPr>
            <w:tcW w:type="dxa" w:w="2304"/>
          </w:tcPr>
          <w:p>
            <w:pPr>
              <w:spacing w:after="0"/>
            </w:pPr>
            <w:r>
              <w:rPr>
                <w:b w:val="0"/>
                <w:sz w:val="19"/>
              </w:rPr>
              <w:t>Equipment inventory reconciliation</w:t>
            </w:r>
          </w:p>
        </w:tc>
        <w:tc>
          <w:tcPr>
            <w:tcW w:type="dxa" w:w="2389"/>
          </w:tcPr>
          <w:p>
            <w:pPr>
              <w:spacing w:after="0"/>
            </w:pPr>
            <w:r>
              <w:rPr>
                <w:b w:val="0"/>
                <w:sz w:val="19"/>
              </w:rPr>
              <w:t>Annual, at the calibration round: F-312-01 against equipment present at each location</w:t>
            </w:r>
          </w:p>
        </w:tc>
        <w:tc>
          <w:tcPr>
            <w:tcW w:type="dxa" w:w="2304"/>
          </w:tcPr>
          <w:p>
            <w:pPr>
              <w:spacing w:after="0"/>
            </w:pPr>
            <w:r>
              <w:rPr>
                <w:b w:val="0"/>
                <w:sz w:val="19"/>
              </w:rPr>
              <w:t>Quality Lead</w:t>
            </w:r>
          </w:p>
        </w:tc>
        <w:tc>
          <w:tcPr>
            <w:tcW w:type="dxa" w:w="1635"/>
          </w:tcPr>
          <w:p>
            <w:pPr>
              <w:spacing w:after="0"/>
            </w:pPr>
            <w:r>
              <w:rPr>
                <w:b w:val="0"/>
                <w:sz w:val="19"/>
              </w:rPr>
              <w:t>F-312-01</w:t>
            </w:r>
          </w:p>
        </w:tc>
        <w:tc>
          <w:tcPr>
            <w:tcW w:type="dxa" w:w="1014"/>
          </w:tcPr>
          <w:p>
            <w:pPr>
              <w:spacing w:after="0"/>
            </w:pPr>
            <w:r>
              <w:rPr>
                <w:b w:val="0"/>
                <w:sz w:val="19"/>
              </w:rPr>
              <w:t>SOP-11, 5.7.6</w:t>
            </w:r>
          </w:p>
        </w:tc>
      </w:tr>
      <w:tr>
        <w:trPr>
          <w:cantSplit w:val="true"/>
        </w:trPr>
        <w:tc>
          <w:tcPr>
            <w:tcW w:type="dxa" w:w="2304"/>
          </w:tcPr>
          <w:p>
            <w:pPr>
              <w:spacing w:after="0"/>
            </w:pPr>
            <w:r>
              <w:rPr>
                <w:b w:val="0"/>
                <w:sz w:val="19"/>
              </w:rPr>
              <w:t>CLIA certificate renewal</w:t>
            </w:r>
          </w:p>
        </w:tc>
        <w:tc>
          <w:tcPr>
            <w:tcW w:type="dxa" w:w="2389"/>
          </w:tcPr>
          <w:p>
            <w:pPr>
              <w:spacing w:after="0"/>
            </w:pPr>
            <w:r>
              <w:rPr>
                <w:b w:val="0"/>
                <w:sz w:val="19"/>
              </w:rPr>
              <w:t>Before each certificate's two-year expiry</w:t>
            </w:r>
          </w:p>
        </w:tc>
        <w:tc>
          <w:tcPr>
            <w:tcW w:type="dxa" w:w="2304"/>
          </w:tcPr>
          <w:p>
            <w:pPr>
              <w:spacing w:after="0"/>
            </w:pPr>
            <w:r>
              <w:rPr>
                <w:b w:val="0"/>
                <w:sz w:val="19"/>
              </w:rPr>
              <w:t>Regulatory Coordinator</w:t>
            </w:r>
          </w:p>
        </w:tc>
        <w:tc>
          <w:tcPr>
            <w:tcW w:type="dxa" w:w="1635"/>
          </w:tcPr>
          <w:p>
            <w:pPr>
              <w:spacing w:after="0"/>
            </w:pPr>
            <w:r>
              <w:rPr>
                <w:b w:val="0"/>
                <w:sz w:val="19"/>
              </w:rPr>
              <w:t>Certificate file and on-site test list</w:t>
            </w:r>
          </w:p>
        </w:tc>
        <w:tc>
          <w:tcPr>
            <w:tcW w:type="dxa" w:w="1014"/>
          </w:tcPr>
          <w:p>
            <w:pPr>
              <w:spacing w:after="0"/>
            </w:pPr>
            <w:r>
              <w:rPr>
                <w:b w:val="0"/>
                <w:sz w:val="19"/>
              </w:rPr>
              <w:t>SOP-11, 5.9.4</w:t>
            </w:r>
          </w:p>
        </w:tc>
      </w:tr>
      <w:tr>
        <w:trPr>
          <w:cantSplit w:val="true"/>
        </w:trPr>
        <w:tc>
          <w:tcPr>
            <w:tcW w:type="dxa" w:w="2304"/>
          </w:tcPr>
          <w:p>
            <w:pPr>
              <w:spacing w:after="0"/>
            </w:pPr>
            <w:r>
              <w:rPr>
                <w:b w:val="0"/>
                <w:sz w:val="19"/>
              </w:rPr>
              <w:t>System access review</w:t>
            </w:r>
          </w:p>
        </w:tc>
        <w:tc>
          <w:tcPr>
            <w:tcW w:type="dxa" w:w="2389"/>
          </w:tcPr>
          <w:p>
            <w:pPr>
              <w:spacing w:after="0"/>
            </w:pPr>
            <w:r>
              <w:rPr>
                <w:b w:val="0"/>
                <w:sz w:val="19"/>
              </w:rPr>
              <w:t>Annual and at every staff departure</w:t>
            </w:r>
          </w:p>
        </w:tc>
        <w:tc>
          <w:tcPr>
            <w:tcW w:type="dxa" w:w="2304"/>
          </w:tcPr>
          <w:p>
            <w:pPr>
              <w:spacing w:after="0"/>
            </w:pPr>
            <w:r>
              <w:rPr>
                <w:b w:val="0"/>
                <w:sz w:val="19"/>
              </w:rPr>
              <w:t>Quality Lead</w:t>
            </w:r>
          </w:p>
        </w:tc>
        <w:tc>
          <w:tcPr>
            <w:tcW w:type="dxa" w:w="1635"/>
          </w:tcPr>
          <w:p>
            <w:pPr>
              <w:spacing w:after="0"/>
            </w:pPr>
            <w:r>
              <w:rPr>
                <w:b w:val="0"/>
                <w:sz w:val="19"/>
              </w:rPr>
              <w:t>F-401-01</w:t>
            </w:r>
          </w:p>
        </w:tc>
        <w:tc>
          <w:tcPr>
            <w:tcW w:type="dxa" w:w="1014"/>
          </w:tcPr>
          <w:p>
            <w:pPr>
              <w:spacing w:after="0"/>
            </w:pPr>
            <w:r>
              <w:rPr>
                <w:b w:val="0"/>
                <w:sz w:val="19"/>
              </w:rPr>
              <w:t>SOP-12, 5.7.3</w:t>
            </w:r>
          </w:p>
        </w:tc>
      </w:tr>
      <w:tr>
        <w:trPr>
          <w:cantSplit w:val="true"/>
        </w:trPr>
        <w:tc>
          <w:tcPr>
            <w:tcW w:type="dxa" w:w="2304"/>
          </w:tcPr>
          <w:p>
            <w:pPr>
              <w:spacing w:after="0"/>
            </w:pPr>
            <w:r>
              <w:rPr>
                <w:b w:val="0"/>
                <w:sz w:val="19"/>
              </w:rPr>
              <w:t>Audit-trail sample</w:t>
            </w:r>
          </w:p>
        </w:tc>
        <w:tc>
          <w:tcPr>
            <w:tcW w:type="dxa" w:w="2389"/>
          </w:tcPr>
          <w:p>
            <w:pPr>
              <w:spacing w:after="0"/>
            </w:pPr>
            <w:r>
              <w:rPr>
                <w:b w:val="0"/>
                <w:sz w:val="19"/>
              </w:rPr>
              <w:t>Annual, with the access review: a sample of 10 records (SOP-12 default) in each site-controlled system holding source</w:t>
            </w:r>
          </w:p>
        </w:tc>
        <w:tc>
          <w:tcPr>
            <w:tcW w:type="dxa" w:w="2304"/>
          </w:tcPr>
          <w:p>
            <w:pPr>
              <w:spacing w:after="0"/>
            </w:pPr>
            <w:r>
              <w:rPr>
                <w:b w:val="0"/>
                <w:sz w:val="19"/>
              </w:rPr>
              <w:t>Quality Lead or System Owner</w:t>
            </w:r>
          </w:p>
        </w:tc>
        <w:tc>
          <w:tcPr>
            <w:tcW w:type="dxa" w:w="1635"/>
          </w:tcPr>
          <w:p>
            <w:pPr>
              <w:spacing w:after="0"/>
            </w:pPr>
            <w:r>
              <w:rPr>
                <w:b w:val="0"/>
                <w:sz w:val="19"/>
              </w:rPr>
              <w:t>F-401-01</w:t>
            </w:r>
          </w:p>
        </w:tc>
        <w:tc>
          <w:tcPr>
            <w:tcW w:type="dxa" w:w="1014"/>
          </w:tcPr>
          <w:p>
            <w:pPr>
              <w:spacing w:after="0"/>
            </w:pPr>
            <w:r>
              <w:rPr>
                <w:b w:val="0"/>
                <w:sz w:val="19"/>
              </w:rPr>
              <w:t>SOP-12, 5.7.3</w:t>
            </w:r>
          </w:p>
        </w:tc>
      </w:tr>
      <w:tr>
        <w:trPr>
          <w:cantSplit w:val="true"/>
        </w:trPr>
        <w:tc>
          <w:tcPr>
            <w:tcW w:type="dxa" w:w="2304"/>
          </w:tcPr>
          <w:p>
            <w:pPr>
              <w:spacing w:after="0"/>
            </w:pPr>
            <w:r>
              <w:rPr>
                <w:b w:val="0"/>
                <w:sz w:val="19"/>
              </w:rPr>
              <w:t>Security Rule risk analysis</w:t>
            </w:r>
          </w:p>
        </w:tc>
        <w:tc>
          <w:tcPr>
            <w:tcW w:type="dxa" w:w="2389"/>
          </w:tcPr>
          <w:p>
            <w:pPr>
              <w:spacing w:after="0"/>
            </w:pPr>
            <w:r>
              <w:rPr>
                <w:b w:val="0"/>
                <w:sz w:val="19"/>
              </w:rPr>
              <w:t>At adoption, before a new system holding PHI goes live, and annually with the access review (covered entities only)</w:t>
            </w:r>
          </w:p>
        </w:tc>
        <w:tc>
          <w:tcPr>
            <w:tcW w:type="dxa" w:w="2304"/>
          </w:tcPr>
          <w:p>
            <w:pPr>
              <w:spacing w:after="0"/>
            </w:pPr>
            <w:r>
              <w:rPr>
                <w:b w:val="0"/>
                <w:sz w:val="19"/>
              </w:rPr>
              <w:t>Security Officer</w:t>
            </w:r>
          </w:p>
        </w:tc>
        <w:tc>
          <w:tcPr>
            <w:tcW w:type="dxa" w:w="1635"/>
          </w:tcPr>
          <w:p>
            <w:pPr>
              <w:spacing w:after="0"/>
            </w:pPr>
            <w:r>
              <w:rPr>
                <w:b w:val="0"/>
                <w:sz w:val="19"/>
              </w:rPr>
              <w:t>Documented risk analysis</w:t>
            </w:r>
          </w:p>
        </w:tc>
        <w:tc>
          <w:tcPr>
            <w:tcW w:type="dxa" w:w="1014"/>
          </w:tcPr>
          <w:p>
            <w:pPr>
              <w:spacing w:after="0"/>
            </w:pPr>
            <w:r>
              <w:rPr>
                <w:b w:val="0"/>
                <w:sz w:val="19"/>
              </w:rPr>
              <w:t>SOP-12, 5.5.6</w:t>
            </w:r>
          </w:p>
        </w:tc>
      </w:tr>
      <w:tr>
        <w:trPr>
          <w:cantSplit w:val="true"/>
        </w:trPr>
        <w:tc>
          <w:tcPr>
            <w:tcW w:type="dxa" w:w="2304"/>
          </w:tcPr>
          <w:p>
            <w:pPr>
              <w:spacing w:after="0"/>
            </w:pPr>
            <w:r>
              <w:rPr>
                <w:b w:val="0"/>
                <w:sz w:val="19"/>
              </w:rPr>
              <w:t>Backup restore test</w:t>
            </w:r>
          </w:p>
        </w:tc>
        <w:tc>
          <w:tcPr>
            <w:tcW w:type="dxa" w:w="2389"/>
          </w:tcPr>
          <w:p>
            <w:pPr>
              <w:spacing w:after="0"/>
            </w:pPr>
            <w:r>
              <w:rPr>
                <w:b w:val="0"/>
                <w:sz w:val="19"/>
              </w:rPr>
              <w:t>Annual</w:t>
            </w:r>
          </w:p>
        </w:tc>
        <w:tc>
          <w:tcPr>
            <w:tcW w:type="dxa" w:w="2304"/>
          </w:tcPr>
          <w:p>
            <w:pPr>
              <w:spacing w:after="0"/>
            </w:pPr>
            <w:r>
              <w:rPr>
                <w:b w:val="0"/>
                <w:sz w:val="19"/>
              </w:rPr>
              <w:t xml:space="preserve">Quality Lead with </w:t>
            </w:r>
            <w:r>
              <w:rPr>
                <w:b w:val="0"/>
                <w:sz w:val="19"/>
                <w:highlight w:val="yellow"/>
              </w:rPr>
              <w:t>[IT SUPPORT PROVIDER]</w:t>
            </w:r>
          </w:p>
        </w:tc>
        <w:tc>
          <w:tcPr>
            <w:tcW w:type="dxa" w:w="1635"/>
          </w:tcPr>
          <w:p>
            <w:pPr>
              <w:spacing w:after="0"/>
            </w:pPr>
            <w:r>
              <w:rPr>
                <w:b w:val="0"/>
                <w:sz w:val="19"/>
              </w:rPr>
              <w:t>F-401-01</w:t>
            </w:r>
          </w:p>
        </w:tc>
        <w:tc>
          <w:tcPr>
            <w:tcW w:type="dxa" w:w="1014"/>
          </w:tcPr>
          <w:p>
            <w:pPr>
              <w:spacing w:after="0"/>
            </w:pPr>
            <w:r>
              <w:rPr>
                <w:b w:val="0"/>
                <w:sz w:val="19"/>
              </w:rPr>
              <w:t>SOP-12, 5.8.1</w:t>
            </w:r>
          </w:p>
        </w:tc>
      </w:tr>
      <w:tr>
        <w:trPr>
          <w:cantSplit w:val="true"/>
        </w:trPr>
        <w:tc>
          <w:tcPr>
            <w:tcW w:type="dxa" w:w="2304"/>
          </w:tcPr>
          <w:p>
            <w:pPr>
              <w:spacing w:after="0"/>
            </w:pPr>
            <w:r>
              <w:rPr>
                <w:b w:val="0"/>
                <w:sz w:val="19"/>
              </w:rPr>
              <w:t>Archive readability check</w:t>
            </w:r>
          </w:p>
        </w:tc>
        <w:tc>
          <w:tcPr>
            <w:tcW w:type="dxa" w:w="2389"/>
          </w:tcPr>
          <w:p>
            <w:pPr>
              <w:spacing w:after="0"/>
            </w:pPr>
            <w:r>
              <w:rPr>
                <w:b w:val="0"/>
                <w:sz w:val="19"/>
              </w:rPr>
              <w:t>Annual, at the restore test: open a sample of archived electronic files</w:t>
            </w:r>
          </w:p>
        </w:tc>
        <w:tc>
          <w:tcPr>
            <w:tcW w:type="dxa" w:w="2304"/>
          </w:tcPr>
          <w:p>
            <w:pPr>
              <w:spacing w:after="0"/>
            </w:pPr>
            <w:r>
              <w:rPr>
                <w:b w:val="0"/>
                <w:sz w:val="19"/>
              </w:rPr>
              <w:t>Regulatory Coordinator</w:t>
            </w:r>
          </w:p>
        </w:tc>
        <w:tc>
          <w:tcPr>
            <w:tcW w:type="dxa" w:w="1635"/>
          </w:tcPr>
          <w:p>
            <w:pPr>
              <w:spacing w:after="0"/>
            </w:pPr>
            <w:r>
              <w:rPr>
                <w:b w:val="0"/>
                <w:sz w:val="19"/>
              </w:rPr>
              <w:t>F-401-01 (restore test entry)</w:t>
            </w:r>
          </w:p>
        </w:tc>
        <w:tc>
          <w:tcPr>
            <w:tcW w:type="dxa" w:w="1014"/>
          </w:tcPr>
          <w:p>
            <w:pPr>
              <w:spacing w:after="0"/>
            </w:pPr>
            <w:r>
              <w:rPr>
                <w:b w:val="0"/>
                <w:sz w:val="19"/>
              </w:rPr>
              <w:t>SOP-12, 5.10.2</w:t>
            </w:r>
          </w:p>
        </w:tc>
      </w:tr>
      <w:tr>
        <w:trPr>
          <w:cantSplit w:val="true"/>
        </w:trPr>
        <w:tc>
          <w:tcPr>
            <w:tcW w:type="dxa" w:w="2304"/>
          </w:tcPr>
          <w:p>
            <w:pPr>
              <w:spacing w:after="0"/>
            </w:pPr>
            <w:r>
              <w:rPr>
                <w:b w:val="0"/>
                <w:sz w:val="19"/>
              </w:rPr>
              <w:t>Business continuity test</w:t>
            </w:r>
          </w:p>
        </w:tc>
        <w:tc>
          <w:tcPr>
            <w:tcW w:type="dxa" w:w="2389"/>
          </w:tcPr>
          <w:p>
            <w:pPr>
              <w:spacing w:after="0"/>
            </w:pPr>
            <w:r>
              <w:rPr>
                <w:b w:val="0"/>
                <w:sz w:val="19"/>
              </w:rPr>
              <w:t>Annual tabletop at each location, covering storage failure, IT outage and PI unavailability over each 2-year cycle; F-705-01, cooler and logger readiness and the restore test result reviewed at the same time</w:t>
            </w:r>
          </w:p>
        </w:tc>
        <w:tc>
          <w:tcPr>
            <w:tcW w:type="dxa" w:w="2304"/>
          </w:tcPr>
          <w:p>
            <w:pPr>
              <w:spacing w:after="0"/>
            </w:pPr>
            <w:r>
              <w:rPr>
                <w:b w:val="0"/>
                <w:sz w:val="19"/>
              </w:rPr>
              <w:t>Quality Lead</w:t>
            </w:r>
          </w:p>
        </w:tc>
        <w:tc>
          <w:tcPr>
            <w:tcW w:type="dxa" w:w="1635"/>
          </w:tcPr>
          <w:p>
            <w:pPr>
              <w:spacing w:after="0"/>
            </w:pPr>
            <w:r>
              <w:rPr>
                <w:b w:val="0"/>
                <w:sz w:val="19"/>
              </w:rPr>
              <w:t>F-705-01</w:t>
            </w:r>
          </w:p>
        </w:tc>
        <w:tc>
          <w:tcPr>
            <w:tcW w:type="dxa" w:w="1014"/>
          </w:tcPr>
          <w:p>
            <w:pPr>
              <w:spacing w:after="0"/>
            </w:pPr>
            <w:r>
              <w:rPr>
                <w:b w:val="0"/>
                <w:sz w:val="19"/>
              </w:rPr>
              <w:t>SOP-16, 5.1.1 and 5.9</w:t>
            </w:r>
          </w:p>
        </w:tc>
      </w:tr>
      <w:tr>
        <w:trPr>
          <w:cantSplit w:val="true"/>
        </w:trPr>
        <w:tc>
          <w:tcPr>
            <w:tcW w:type="dxa" w:w="2304"/>
          </w:tcPr>
          <w:p>
            <w:pPr>
              <w:spacing w:after="0"/>
            </w:pPr>
            <w:r>
              <w:rPr>
                <w:b w:val="0"/>
                <w:sz w:val="19"/>
              </w:rPr>
              <w:t>Form 1099 threshold</w:t>
            </w:r>
          </w:p>
        </w:tc>
        <w:tc>
          <w:tcPr>
            <w:tcW w:type="dxa" w:w="2389"/>
          </w:tcPr>
          <w:p>
            <w:pPr>
              <w:spacing w:after="0"/>
            </w:pPr>
            <w:r>
              <w:rPr>
                <w:b w:val="0"/>
                <w:sz w:val="19"/>
              </w:rPr>
              <w:t>Each January: confirm the IRS reporting threshold; file and furnish Forms 1099-MISC by the IRS deadlines</w:t>
            </w:r>
          </w:p>
        </w:tc>
        <w:tc>
          <w:tcPr>
            <w:tcW w:type="dxa" w:w="2304"/>
          </w:tcPr>
          <w:p>
            <w:pPr>
              <w:spacing w:after="0"/>
            </w:pPr>
            <w:r>
              <w:rPr>
                <w:b w:val="0"/>
                <w:sz w:val="19"/>
              </w:rPr>
              <w:t>Finance / Contracts Lead</w:t>
            </w:r>
          </w:p>
        </w:tc>
        <w:tc>
          <w:tcPr>
            <w:tcW w:type="dxa" w:w="1635"/>
          </w:tcPr>
          <w:p>
            <w:pPr>
              <w:spacing w:after="0"/>
            </w:pPr>
            <w:r>
              <w:rPr>
                <w:b w:val="0"/>
                <w:sz w:val="19"/>
              </w:rPr>
              <w:t>Tax records (SOP-10, 5.10.4)</w:t>
            </w:r>
          </w:p>
        </w:tc>
        <w:tc>
          <w:tcPr>
            <w:tcW w:type="dxa" w:w="1014"/>
          </w:tcPr>
          <w:p>
            <w:pPr>
              <w:spacing w:after="0"/>
            </w:pPr>
            <w:r>
              <w:rPr>
                <w:b w:val="0"/>
                <w:sz w:val="19"/>
              </w:rPr>
              <w:t>SOP-10, 5.9.2</w:t>
            </w:r>
          </w:p>
        </w:tc>
      </w:tr>
      <w:tr>
        <w:trPr>
          <w:cantSplit w:val="true"/>
        </w:trPr>
        <w:tc>
          <w:tcPr>
            <w:tcW w:type="dxa" w:w="2304"/>
          </w:tcPr>
          <w:p>
            <w:pPr>
              <w:spacing w:after="0"/>
            </w:pPr>
            <w:r>
              <w:rPr>
                <w:b w:val="0"/>
                <w:sz w:val="19"/>
              </w:rPr>
              <w:t>Vendor review (SOP-M1, if adopted)</w:t>
            </w:r>
          </w:p>
        </w:tc>
        <w:tc>
          <w:tcPr>
            <w:tcW w:type="dxa" w:w="2389"/>
          </w:tcPr>
          <w:p>
            <w:pPr>
              <w:spacing w:after="0"/>
            </w:pPr>
            <w:r>
              <w:rPr>
                <w:b w:val="0"/>
                <w:sz w:val="19"/>
              </w:rPr>
              <w:t>Annual review of each investigator-engaged provider, re-reading any gaps in the provider's own standard terms recorded under SOP-M1, 5.4.4, with a debarment screen of the provider company; annual certificate check for standard-terms providers; renewal requested before each provider certificate or license expires</w:t>
            </w:r>
          </w:p>
        </w:tc>
        <w:tc>
          <w:tcPr>
            <w:tcW w:type="dxa" w:w="2304"/>
          </w:tcPr>
          <w:p>
            <w:pPr>
              <w:spacing w:after="0"/>
            </w:pPr>
            <w:r>
              <w:rPr>
                <w:b w:val="0"/>
                <w:sz w:val="19"/>
              </w:rPr>
              <w:t>Provider Owner with the PI; Finance / Contracts Lead for the screen; Quality Lead for expiry tracking</w:t>
            </w:r>
          </w:p>
        </w:tc>
        <w:tc>
          <w:tcPr>
            <w:tcW w:type="dxa" w:w="1635"/>
          </w:tcPr>
          <w:p>
            <w:pPr>
              <w:spacing w:after="0"/>
            </w:pPr>
            <w:r>
              <w:rPr>
                <w:b w:val="0"/>
                <w:sz w:val="19"/>
              </w:rPr>
              <w:t>F-105-01</w:t>
            </w:r>
          </w:p>
        </w:tc>
        <w:tc>
          <w:tcPr>
            <w:tcW w:type="dxa" w:w="1014"/>
          </w:tcPr>
          <w:p>
            <w:pPr>
              <w:spacing w:after="0"/>
            </w:pPr>
            <w:r>
              <w:rPr>
                <w:b w:val="0"/>
                <w:sz w:val="19"/>
              </w:rPr>
              <w:t>SOP-M1, 5.2.4, 5.3.5, 5.4.4, 5.6.2 and 5.6.5</w:t>
            </w:r>
          </w:p>
        </w:tc>
      </w:tr>
      <w:tr>
        <w:trPr>
          <w:cantSplit w:val="true"/>
        </w:trPr>
        <w:tc>
          <w:tcPr>
            <w:tcW w:type="dxa" w:w="2304"/>
          </w:tcPr>
          <w:p>
            <w:pPr>
              <w:spacing w:after="0"/>
            </w:pPr>
            <w:r>
              <w:rPr>
                <w:b w:val="0"/>
                <w:sz w:val="19"/>
              </w:rPr>
              <w:t>Recruitment results summary (SOP-M3, if adopted)</w:t>
            </w:r>
          </w:p>
        </w:tc>
        <w:tc>
          <w:tcPr>
            <w:tcW w:type="dxa" w:w="2389"/>
          </w:tcPr>
          <w:p>
            <w:pPr>
              <w:spacing w:after="0"/>
            </w:pPr>
            <w:r>
              <w:rPr>
                <w:b w:val="0"/>
                <w:sz w:val="19"/>
              </w:rPr>
              <w:t>For each PI oversight note (quarterly and at each monitoring visit)</w:t>
            </w:r>
          </w:p>
        </w:tc>
        <w:tc>
          <w:tcPr>
            <w:tcW w:type="dxa" w:w="2304"/>
          </w:tcPr>
          <w:p>
            <w:pPr>
              <w:spacing w:after="0"/>
            </w:pPr>
            <w:r>
              <w:rPr>
                <w:b w:val="0"/>
                <w:sz w:val="19"/>
              </w:rPr>
              <w:t>Recruitment Specialist or CRC</w:t>
            </w:r>
          </w:p>
        </w:tc>
        <w:tc>
          <w:tcPr>
            <w:tcW w:type="dxa" w:w="1635"/>
          </w:tcPr>
          <w:p>
            <w:pPr>
              <w:spacing w:after="0"/>
            </w:pPr>
            <w:r>
              <w:rPr>
                <w:b w:val="0"/>
                <w:sz w:val="19"/>
              </w:rPr>
              <w:t>F-300-01 summary; vendor referrals and complaints reviewed at the same time</w:t>
            </w:r>
          </w:p>
        </w:tc>
        <w:tc>
          <w:tcPr>
            <w:tcW w:type="dxa" w:w="1014"/>
          </w:tcPr>
          <w:p>
            <w:pPr>
              <w:spacing w:after="0"/>
            </w:pPr>
            <w:r>
              <w:rPr>
                <w:b w:val="0"/>
                <w:sz w:val="19"/>
              </w:rPr>
              <w:t>SOP-M3, 5.6.5 and 5.8.1</w:t>
            </w:r>
          </w:p>
        </w:tc>
      </w:tr>
      <w:tr>
        <w:trPr>
          <w:cantSplit w:val="true"/>
        </w:trPr>
        <w:tc>
          <w:tcPr>
            <w:tcW w:type="dxa" w:w="2304"/>
          </w:tcPr>
          <w:p>
            <w:pPr>
              <w:spacing w:after="0"/>
            </w:pPr>
            <w:r>
              <w:rPr>
                <w:b w:val="0"/>
                <w:sz w:val="19"/>
              </w:rPr>
              <w:t>Public ad comments (SOP-M3, if adopted)</w:t>
            </w:r>
          </w:p>
        </w:tc>
        <w:tc>
          <w:tcPr>
            <w:tcW w:type="dxa" w:w="2389"/>
          </w:tcPr>
          <w:p>
            <w:pPr>
              <w:spacing w:after="0"/>
            </w:pPr>
            <w:r>
              <w:rPr>
                <w:b w:val="0"/>
                <w:sz w:val="19"/>
              </w:rPr>
              <w:t>Each business day while an ad runs on a platform where comments cannot be disabled</w:t>
            </w:r>
          </w:p>
        </w:tc>
        <w:tc>
          <w:tcPr>
            <w:tcW w:type="dxa" w:w="2304"/>
          </w:tcPr>
          <w:p>
            <w:pPr>
              <w:spacing w:after="0"/>
            </w:pPr>
            <w:r>
              <w:rPr>
                <w:b w:val="0"/>
                <w:sz w:val="19"/>
              </w:rPr>
              <w:t>Recruitment Specialist</w:t>
            </w:r>
          </w:p>
        </w:tc>
        <w:tc>
          <w:tcPr>
            <w:tcW w:type="dxa" w:w="1635"/>
          </w:tcPr>
          <w:p>
            <w:pPr>
              <w:spacing w:after="0"/>
            </w:pPr>
            <w:r>
              <w:rPr>
                <w:b w:val="0"/>
                <w:sz w:val="19"/>
              </w:rPr>
              <w:t>F-400-01 where a comment disclosed health information</w:t>
            </w:r>
          </w:p>
        </w:tc>
        <w:tc>
          <w:tcPr>
            <w:tcW w:type="dxa" w:w="1014"/>
          </w:tcPr>
          <w:p>
            <w:pPr>
              <w:spacing w:after="0"/>
            </w:pPr>
            <w:r>
              <w:rPr>
                <w:b w:val="0"/>
                <w:sz w:val="19"/>
              </w:rPr>
              <w:t>SOP-M3, 5.3.2</w:t>
            </w:r>
          </w:p>
        </w:tc>
      </w:tr>
      <w:tr>
        <w:trPr>
          <w:cantSplit w:val="true"/>
        </w:trPr>
        <w:tc>
          <w:tcPr>
            <w:tcW w:type="dxa" w:w="2304"/>
          </w:tcPr>
          <w:p>
            <w:pPr>
              <w:spacing w:after="0"/>
            </w:pPr>
            <w:r>
              <w:rPr>
                <w:b w:val="0"/>
                <w:sz w:val="19"/>
              </w:rPr>
              <w:t>Sponsor-investigator reports (SOP-M6, if adopted)</w:t>
            </w:r>
          </w:p>
        </w:tc>
        <w:tc>
          <w:tcPr>
            <w:tcW w:type="dxa" w:w="2389"/>
          </w:tcPr>
          <w:p>
            <w:pPr>
              <w:spacing w:after="0"/>
            </w:pPr>
            <w:r>
              <w:rPr>
                <w:b w:val="0"/>
                <w:sz w:val="19"/>
              </w:rPr>
              <w:t>IND annual report within 60 days of each IND anniversary; device progress report to the IRB at least yearly (and FDA for significant risk studies); ClinicalTrials.gov record updated at least every 12 months</w:t>
            </w:r>
          </w:p>
        </w:tc>
        <w:tc>
          <w:tcPr>
            <w:tcW w:type="dxa" w:w="2304"/>
          </w:tcPr>
          <w:p>
            <w:pPr>
              <w:spacing w:after="0"/>
            </w:pPr>
            <w:r>
              <w:rPr>
                <w:b w:val="0"/>
                <w:sz w:val="19"/>
              </w:rPr>
              <w:t>PI as sponsor-investigator; Regulatory Coordinator enters each date in the sponsor deadline calendar</w:t>
            </w:r>
          </w:p>
        </w:tc>
        <w:tc>
          <w:tcPr>
            <w:tcW w:type="dxa" w:w="1635"/>
          </w:tcPr>
          <w:p>
            <w:pPr>
              <w:spacing w:after="0"/>
            </w:pPr>
            <w:r>
              <w:rPr>
                <w:b w:val="0"/>
                <w:sz w:val="19"/>
              </w:rPr>
              <w:t>Sponsor file</w:t>
            </w:r>
          </w:p>
        </w:tc>
        <w:tc>
          <w:tcPr>
            <w:tcW w:type="dxa" w:w="1014"/>
          </w:tcPr>
          <w:p>
            <w:pPr>
              <w:spacing w:after="0"/>
            </w:pPr>
            <w:r>
              <w:rPr>
                <w:b w:val="0"/>
                <w:sz w:val="19"/>
              </w:rPr>
              <w:t>SOP-M6, 5.7.4, 5.7.5 and 5.8.2</w:t>
            </w:r>
          </w:p>
        </w:tc>
      </w:tr>
    </w:tbl>
    <w:p>
      <w:pPr>
        <w:spacing w:after="40"/>
      </w:pPr>
    </w:p>
    <w:p>
      <w:pPr>
        <w:ind w:left="648"/>
      </w:pPr>
      <w:r>
        <w:rPr>
          <w:b/>
        </w:rPr>
        <w:t>Part B. Event-triggered checks</w:t>
      </w:r>
    </w:p>
    <w:tbl>
      <w:tblPr>
        <w:tblStyle w:val="TableGrid"/>
        <w:tblW w:type="auto" w:w="0"/>
        <w:jc w:val="left"/>
        <w:tblLayout w:type="fixed"/>
        <w:tblLook w:firstColumn="1" w:firstRow="1" w:lastColumn="0" w:lastRow="0" w:noHBand="0" w:noVBand="1" w:val="04A0"/>
      </w:tblPr>
      <w:tblGrid>
        <w:gridCol w:w="2601"/>
        <w:gridCol w:w="3008"/>
        <w:gridCol w:w="1635"/>
        <w:gridCol w:w="1324"/>
        <w:gridCol w:w="1077"/>
      </w:tblGrid>
      <w:tr>
        <w:trPr>
          <w:tblHeader w:val="true"/>
        </w:trPr>
        <w:tc>
          <w:tcPr>
            <w:tcW w:type="dxa" w:w="2601"/>
            <w:shd w:val="clear" w:color="auto" w:fill="D9E2F3"/>
          </w:tcPr>
          <w:p>
            <w:pPr>
              <w:spacing w:after="0"/>
            </w:pPr>
            <w:r>
              <w:rPr>
                <w:b/>
                <w:sz w:val="19"/>
              </w:rPr>
              <w:t>Event</w:t>
            </w:r>
          </w:p>
        </w:tc>
        <w:tc>
          <w:tcPr>
            <w:tcW w:type="dxa" w:w="3008"/>
            <w:shd w:val="clear" w:color="auto" w:fill="D9E2F3"/>
          </w:tcPr>
          <w:p>
            <w:pPr>
              <w:spacing w:after="0"/>
            </w:pPr>
            <w:r>
              <w:rPr>
                <w:b/>
                <w:sz w:val="19"/>
              </w:rPr>
              <w:t>Check</w:t>
            </w:r>
          </w:p>
        </w:tc>
        <w:tc>
          <w:tcPr>
            <w:tcW w:type="dxa" w:w="1635"/>
            <w:shd w:val="clear" w:color="auto" w:fill="D9E2F3"/>
          </w:tcPr>
          <w:p>
            <w:pPr>
              <w:spacing w:after="0"/>
            </w:pPr>
            <w:r>
              <w:rPr>
                <w:b/>
                <w:sz w:val="19"/>
              </w:rPr>
              <w:t>Owner</w:t>
            </w:r>
          </w:p>
        </w:tc>
        <w:tc>
          <w:tcPr>
            <w:tcW w:type="dxa" w:w="1324"/>
            <w:shd w:val="clear" w:color="auto" w:fill="D9E2F3"/>
          </w:tcPr>
          <w:p>
            <w:pPr>
              <w:spacing w:after="0"/>
            </w:pPr>
            <w:r>
              <w:rPr>
                <w:b/>
                <w:sz w:val="19"/>
              </w:rPr>
              <w:t>Record</w:t>
            </w:r>
          </w:p>
        </w:tc>
        <w:tc>
          <w:tcPr>
            <w:tcW w:type="dxa" w:w="1077"/>
            <w:shd w:val="clear" w:color="auto" w:fill="D9E2F3"/>
          </w:tcPr>
          <w:p>
            <w:pPr>
              <w:spacing w:after="0"/>
            </w:pPr>
            <w:r>
              <w:rPr>
                <w:b/>
                <w:sz w:val="19"/>
              </w:rPr>
              <w:t>Home SOP</w:t>
            </w:r>
          </w:p>
        </w:tc>
      </w:tr>
      <w:tr>
        <w:trPr>
          <w:cantSplit w:val="true"/>
        </w:trPr>
        <w:tc>
          <w:tcPr>
            <w:tcW w:type="dxa" w:w="2601"/>
          </w:tcPr>
          <w:p>
            <w:pPr>
              <w:spacing w:after="0"/>
            </w:pPr>
            <w:r>
              <w:rPr>
                <w:b w:val="0"/>
                <w:sz w:val="19"/>
              </w:rPr>
              <w:t>Each consent and re-consent</w:t>
            </w:r>
          </w:p>
        </w:tc>
        <w:tc>
          <w:tcPr>
            <w:tcW w:type="dxa" w:w="3008"/>
          </w:tcPr>
          <w:p>
            <w:pPr>
              <w:spacing w:after="0"/>
            </w:pPr>
            <w:r>
              <w:rPr>
                <w:b w:val="0"/>
                <w:sz w:val="19"/>
              </w:rPr>
              <w:t>Current IRB-approved version confirmed before the discussion; identity verified; consent checklist completed at the time</w:t>
            </w:r>
          </w:p>
        </w:tc>
        <w:tc>
          <w:tcPr>
            <w:tcW w:type="dxa" w:w="1635"/>
          </w:tcPr>
          <w:p>
            <w:pPr>
              <w:spacing w:after="0"/>
            </w:pPr>
            <w:r>
              <w:rPr>
                <w:b w:val="0"/>
                <w:sz w:val="19"/>
              </w:rPr>
              <w:t>Person obtaining consent</w:t>
            </w:r>
          </w:p>
        </w:tc>
        <w:tc>
          <w:tcPr>
            <w:tcW w:type="dxa" w:w="1324"/>
          </w:tcPr>
          <w:p>
            <w:pPr>
              <w:spacing w:after="0"/>
            </w:pPr>
            <w:r>
              <w:rPr>
                <w:b w:val="0"/>
                <w:sz w:val="19"/>
              </w:rPr>
              <w:t>F-301-01</w:t>
            </w:r>
          </w:p>
        </w:tc>
        <w:tc>
          <w:tcPr>
            <w:tcW w:type="dxa" w:w="1077"/>
          </w:tcPr>
          <w:p>
            <w:pPr>
              <w:spacing w:after="0"/>
            </w:pPr>
            <w:r>
              <w:rPr>
                <w:b w:val="0"/>
                <w:sz w:val="19"/>
              </w:rPr>
              <w:t>SOP-04, 5.1.3, 5.4 and 5.10.4</w:t>
            </w:r>
          </w:p>
        </w:tc>
      </w:tr>
      <w:tr>
        <w:trPr>
          <w:cantSplit w:val="true"/>
        </w:trPr>
        <w:tc>
          <w:tcPr>
            <w:tcW w:type="dxa" w:w="2601"/>
          </w:tcPr>
          <w:p>
            <w:pPr>
              <w:spacing w:after="0"/>
            </w:pPr>
            <w:r>
              <w:rPr>
                <w:b w:val="0"/>
                <w:sz w:val="19"/>
              </w:rPr>
              <w:t>Each consent and re-consent (consent second-person QC)</w:t>
            </w:r>
          </w:p>
        </w:tc>
        <w:tc>
          <w:tcPr>
            <w:tcW w:type="dxa" w:w="3008"/>
          </w:tcPr>
          <w:p>
            <w:pPr>
              <w:spacing w:after="0"/>
            </w:pPr>
            <w:r>
              <w:rPr>
                <w:b w:val="0"/>
                <w:sz w:val="19"/>
              </w:rPr>
              <w:t xml:space="preserve">First 3 consents by each consenter in each study, and first 3 of each re-consent wave, within </w:t>
            </w:r>
            <w:r>
              <w:rPr>
                <w:b w:val="0"/>
                <w:sz w:val="19"/>
                <w:highlight w:val="green"/>
              </w:rPr>
              <w:t>[DEFAULT: 1 business day]</w:t>
            </w:r>
            <w:r>
              <w:rPr>
                <w:b w:val="0"/>
                <w:sz w:val="19"/>
              </w:rPr>
              <w:t xml:space="preserve"> of signature and completed before randomization or first dose where that comes first; then 1 in 5 within </w:t>
            </w:r>
            <w:r>
              <w:rPr>
                <w:b w:val="0"/>
                <w:sz w:val="19"/>
                <w:highlight w:val="green"/>
              </w:rPr>
              <w:t>[DEFAULT: 1 business day]</w:t>
            </w:r>
            <w:r>
              <w:rPr>
                <w:b w:val="0"/>
                <w:sz w:val="19"/>
              </w:rPr>
              <w:t>; any error resets that consenter, in that study, to 100% for the next 3</w:t>
            </w:r>
          </w:p>
        </w:tc>
        <w:tc>
          <w:tcPr>
            <w:tcW w:type="dxa" w:w="1635"/>
          </w:tcPr>
          <w:p>
            <w:pPr>
              <w:spacing w:after="0"/>
            </w:pPr>
            <w:r>
              <w:rPr>
                <w:b w:val="0"/>
                <w:sz w:val="19"/>
              </w:rPr>
              <w:t>Assigned reviewer</w:t>
            </w:r>
          </w:p>
        </w:tc>
        <w:tc>
          <w:tcPr>
            <w:tcW w:type="dxa" w:w="1324"/>
          </w:tcPr>
          <w:p>
            <w:pPr>
              <w:spacing w:after="0"/>
            </w:pPr>
            <w:r>
              <w:rPr>
                <w:b w:val="0"/>
                <w:sz w:val="19"/>
              </w:rPr>
              <w:t>F-301-01, F-700-01</w:t>
            </w:r>
          </w:p>
        </w:tc>
        <w:tc>
          <w:tcPr>
            <w:tcW w:type="dxa" w:w="1077"/>
          </w:tcPr>
          <w:p>
            <w:pPr>
              <w:spacing w:after="0"/>
            </w:pPr>
            <w:r>
              <w:rPr>
                <w:b w:val="0"/>
                <w:sz w:val="19"/>
              </w:rPr>
              <w:t>SOP-14, 5.3 and 5.4</w:t>
            </w:r>
          </w:p>
        </w:tc>
      </w:tr>
      <w:tr>
        <w:trPr>
          <w:cantSplit w:val="true"/>
        </w:trPr>
        <w:tc>
          <w:tcPr>
            <w:tcW w:type="dxa" w:w="2601"/>
          </w:tcPr>
          <w:p>
            <w:pPr>
              <w:spacing w:after="0"/>
            </w:pPr>
            <w:r>
              <w:rPr>
                <w:b w:val="0"/>
                <w:sz w:val="19"/>
              </w:rPr>
              <w:t>Each participant, before randomization or first dose (eligibility)</w:t>
            </w:r>
          </w:p>
        </w:tc>
        <w:tc>
          <w:tcPr>
            <w:tcW w:type="dxa" w:w="3008"/>
          </w:tcPr>
          <w:p>
            <w:pPr>
              <w:spacing w:after="0"/>
            </w:pPr>
            <w:r>
              <w:rPr>
                <w:b w:val="0"/>
                <w:sz w:val="19"/>
              </w:rPr>
              <w:t>CRC prepares F-303-02; investigator reviews and signs</w:t>
            </w:r>
          </w:p>
        </w:tc>
        <w:tc>
          <w:tcPr>
            <w:tcW w:type="dxa" w:w="1635"/>
          </w:tcPr>
          <w:p>
            <w:pPr>
              <w:spacing w:after="0"/>
            </w:pPr>
            <w:r>
              <w:rPr>
                <w:b w:val="0"/>
                <w:sz w:val="19"/>
              </w:rPr>
              <w:t>CRC, investigator</w:t>
            </w:r>
          </w:p>
        </w:tc>
        <w:tc>
          <w:tcPr>
            <w:tcW w:type="dxa" w:w="1324"/>
          </w:tcPr>
          <w:p>
            <w:pPr>
              <w:spacing w:after="0"/>
            </w:pPr>
            <w:r>
              <w:rPr>
                <w:b w:val="0"/>
                <w:sz w:val="19"/>
              </w:rPr>
              <w:t>F-303-02</w:t>
            </w:r>
          </w:p>
        </w:tc>
        <w:tc>
          <w:tcPr>
            <w:tcW w:type="dxa" w:w="1077"/>
          </w:tcPr>
          <w:p>
            <w:pPr>
              <w:spacing w:after="0"/>
            </w:pPr>
            <w:r>
              <w:rPr>
                <w:b w:val="0"/>
                <w:sz w:val="19"/>
              </w:rPr>
              <w:t>SOP-05, 5.4 and 5.5</w:t>
            </w:r>
          </w:p>
        </w:tc>
      </w:tr>
      <w:tr>
        <w:trPr>
          <w:cantSplit w:val="true"/>
        </w:trPr>
        <w:tc>
          <w:tcPr>
            <w:tcW w:type="dxa" w:w="2601"/>
          </w:tcPr>
          <w:p>
            <w:pPr>
              <w:spacing w:after="0"/>
            </w:pPr>
            <w:r>
              <w:rPr>
                <w:b w:val="0"/>
                <w:sz w:val="19"/>
              </w:rPr>
              <w:t>Each participant visit</w:t>
            </w:r>
          </w:p>
        </w:tc>
        <w:tc>
          <w:tcPr>
            <w:tcW w:type="dxa" w:w="3008"/>
          </w:tcPr>
          <w:p>
            <w:pPr>
              <w:spacing w:after="0"/>
            </w:pPr>
            <w:r>
              <w:rPr>
                <w:b w:val="0"/>
                <w:sz w:val="19"/>
              </w:rPr>
              <w:t>Participant still wishes to take part; contact details confirmed; lab kit expiry checked; contraception counseling repeated where the protocol requires and at each on-site visit while on IP</w:t>
            </w:r>
          </w:p>
        </w:tc>
        <w:tc>
          <w:tcPr>
            <w:tcW w:type="dxa" w:w="1635"/>
          </w:tcPr>
          <w:p>
            <w:pPr>
              <w:spacing w:after="0"/>
            </w:pPr>
            <w:r>
              <w:rPr>
                <w:b w:val="0"/>
                <w:sz w:val="19"/>
              </w:rPr>
              <w:t>CRC</w:t>
            </w:r>
          </w:p>
        </w:tc>
        <w:tc>
          <w:tcPr>
            <w:tcW w:type="dxa" w:w="1324"/>
          </w:tcPr>
          <w:p>
            <w:pPr>
              <w:spacing w:after="0"/>
            </w:pPr>
            <w:r>
              <w:rPr>
                <w:b w:val="0"/>
                <w:sz w:val="19"/>
              </w:rPr>
              <w:t>Source</w:t>
            </w:r>
          </w:p>
        </w:tc>
        <w:tc>
          <w:tcPr>
            <w:tcW w:type="dxa" w:w="1077"/>
          </w:tcPr>
          <w:p>
            <w:pPr>
              <w:spacing w:after="0"/>
            </w:pPr>
            <w:r>
              <w:rPr>
                <w:b w:val="0"/>
                <w:sz w:val="19"/>
              </w:rPr>
              <w:t>SOP-04, 5.4.3; SOP-10, 5.1.3; SOP-11, 5.1.4; SOP-09, 5.10.1</w:t>
            </w:r>
          </w:p>
        </w:tc>
      </w:tr>
      <w:tr>
        <w:trPr>
          <w:cantSplit w:val="true"/>
        </w:trPr>
        <w:tc>
          <w:tcPr>
            <w:tcW w:type="dxa" w:w="2601"/>
          </w:tcPr>
          <w:p>
            <w:pPr>
              <w:spacing w:after="0"/>
            </w:pPr>
            <w:r>
              <w:rPr>
                <w:b w:val="0"/>
                <w:sz w:val="19"/>
              </w:rPr>
              <w:t>Each enrolled minor's birthday</w:t>
            </w:r>
          </w:p>
        </w:tc>
        <w:tc>
          <w:tcPr>
            <w:tcW w:type="dxa" w:w="3008"/>
          </w:tcPr>
          <w:p>
            <w:pPr>
              <w:spacing w:after="0"/>
            </w:pPr>
            <w:r>
              <w:rPr>
                <w:b w:val="0"/>
                <w:sz w:val="19"/>
              </w:rPr>
              <w:t>Age of majority tracked; consent on the adult form before further procedures</w:t>
            </w:r>
          </w:p>
        </w:tc>
        <w:tc>
          <w:tcPr>
            <w:tcW w:type="dxa" w:w="1635"/>
          </w:tcPr>
          <w:p>
            <w:pPr>
              <w:spacing w:after="0"/>
            </w:pPr>
            <w:r>
              <w:rPr>
                <w:b w:val="0"/>
                <w:sz w:val="19"/>
              </w:rPr>
              <w:t>CRC</w:t>
            </w:r>
          </w:p>
        </w:tc>
        <w:tc>
          <w:tcPr>
            <w:tcW w:type="dxa" w:w="1324"/>
          </w:tcPr>
          <w:p>
            <w:pPr>
              <w:spacing w:after="0"/>
            </w:pPr>
            <w:r>
              <w:rPr>
                <w:b w:val="0"/>
                <w:sz w:val="19"/>
              </w:rPr>
              <w:t>F-301-02 or study tracker</w:t>
            </w:r>
          </w:p>
        </w:tc>
        <w:tc>
          <w:tcPr>
            <w:tcW w:type="dxa" w:w="1077"/>
          </w:tcPr>
          <w:p>
            <w:pPr>
              <w:spacing w:after="0"/>
            </w:pPr>
            <w:r>
              <w:rPr>
                <w:b w:val="0"/>
                <w:sz w:val="19"/>
              </w:rPr>
              <w:t>SOP-04, 5.7.3</w:t>
            </w:r>
          </w:p>
        </w:tc>
      </w:tr>
      <w:tr>
        <w:trPr>
          <w:cantSplit w:val="true"/>
        </w:trPr>
        <w:tc>
          <w:tcPr>
            <w:tcW w:type="dxa" w:w="2601"/>
          </w:tcPr>
          <w:p>
            <w:pPr>
              <w:spacing w:after="0"/>
            </w:pPr>
            <w:r>
              <w:rPr>
                <w:b w:val="0"/>
                <w:sz w:val="19"/>
              </w:rPr>
              <w:t>Each use of equipment with a per-use check</w:t>
            </w:r>
          </w:p>
        </w:tc>
        <w:tc>
          <w:tcPr>
            <w:tcW w:type="dxa" w:w="3008"/>
          </w:tcPr>
          <w:p>
            <w:pPr>
              <w:spacing w:after="0"/>
            </w:pPr>
            <w:r>
              <w:rPr>
                <w:b w:val="0"/>
                <w:sz w:val="19"/>
              </w:rPr>
              <w:t>Check the manufacturer or protocol requires (for example spirometer syringe check, glucose meter controls)</w:t>
            </w:r>
          </w:p>
        </w:tc>
        <w:tc>
          <w:tcPr>
            <w:tcW w:type="dxa" w:w="1635"/>
          </w:tcPr>
          <w:p>
            <w:pPr>
              <w:spacing w:after="0"/>
            </w:pPr>
            <w:r>
              <w:rPr>
                <w:b w:val="0"/>
                <w:sz w:val="19"/>
              </w:rPr>
              <w:t>User</w:t>
            </w:r>
          </w:p>
        </w:tc>
        <w:tc>
          <w:tcPr>
            <w:tcW w:type="dxa" w:w="1324"/>
          </w:tcPr>
          <w:p>
            <w:pPr>
              <w:spacing w:after="0"/>
            </w:pPr>
            <w:r>
              <w:rPr>
                <w:b w:val="0"/>
                <w:sz w:val="19"/>
              </w:rPr>
              <w:t>Equipment record</w:t>
            </w:r>
          </w:p>
        </w:tc>
        <w:tc>
          <w:tcPr>
            <w:tcW w:type="dxa" w:w="1077"/>
          </w:tcPr>
          <w:p>
            <w:pPr>
              <w:spacing w:after="0"/>
            </w:pPr>
            <w:r>
              <w:rPr>
                <w:b w:val="0"/>
                <w:sz w:val="19"/>
              </w:rPr>
              <w:t>SOP-11, 5.7.3</w:t>
            </w:r>
          </w:p>
        </w:tc>
      </w:tr>
      <w:tr>
        <w:trPr>
          <w:cantSplit w:val="true"/>
        </w:trPr>
        <w:tc>
          <w:tcPr>
            <w:tcW w:type="dxa" w:w="2601"/>
          </w:tcPr>
          <w:p>
            <w:pPr>
              <w:spacing w:after="0"/>
            </w:pPr>
            <w:r>
              <w:rPr>
                <w:b w:val="0"/>
                <w:sz w:val="19"/>
              </w:rPr>
              <w:t>Before each monitoring visit</w:t>
            </w:r>
          </w:p>
        </w:tc>
        <w:tc>
          <w:tcPr>
            <w:tcW w:type="dxa" w:w="3008"/>
          </w:tcPr>
          <w:p>
            <w:pPr>
              <w:spacing w:after="0"/>
            </w:pPr>
            <w:r>
              <w:rPr>
                <w:b w:val="0"/>
                <w:sz w:val="19"/>
              </w:rPr>
              <w:t>EDC entry and queries current, SAEs reported, deviations logged, prior actions have a status, by 1 business day before the visit</w:t>
            </w:r>
          </w:p>
        </w:tc>
        <w:tc>
          <w:tcPr>
            <w:tcW w:type="dxa" w:w="1635"/>
          </w:tcPr>
          <w:p>
            <w:pPr>
              <w:spacing w:after="0"/>
            </w:pPr>
            <w:r>
              <w:rPr>
                <w:b w:val="0"/>
                <w:sz w:val="19"/>
              </w:rPr>
              <w:t>Lead CRC</w:t>
            </w:r>
          </w:p>
        </w:tc>
        <w:tc>
          <w:tcPr>
            <w:tcW w:type="dxa" w:w="1324"/>
          </w:tcPr>
          <w:p>
            <w:pPr>
              <w:spacing w:after="0"/>
            </w:pPr>
            <w:r>
              <w:rPr>
                <w:b w:val="0"/>
                <w:sz w:val="19"/>
              </w:rPr>
              <w:t>F-600-01</w:t>
            </w:r>
          </w:p>
        </w:tc>
        <w:tc>
          <w:tcPr>
            <w:tcW w:type="dxa" w:w="1077"/>
          </w:tcPr>
          <w:p>
            <w:pPr>
              <w:spacing w:after="0"/>
            </w:pPr>
            <w:r>
              <w:rPr>
                <w:b w:val="0"/>
                <w:sz w:val="19"/>
              </w:rPr>
              <w:t>SOP-13, 5.2.2</w:t>
            </w:r>
          </w:p>
        </w:tc>
      </w:tr>
      <w:tr>
        <w:trPr>
          <w:cantSplit w:val="true"/>
        </w:trPr>
        <w:tc>
          <w:tcPr>
            <w:tcW w:type="dxa" w:w="2601"/>
          </w:tcPr>
          <w:p>
            <w:pPr>
              <w:spacing w:after="0"/>
            </w:pPr>
            <w:r>
              <w:rPr>
                <w:b w:val="0"/>
                <w:sz w:val="19"/>
              </w:rPr>
              <w:t>Before each monitoring visit</w:t>
            </w:r>
          </w:p>
        </w:tc>
        <w:tc>
          <w:tcPr>
            <w:tcW w:type="dxa" w:w="3008"/>
          </w:tcPr>
          <w:p>
            <w:pPr>
              <w:spacing w:after="0"/>
            </w:pPr>
            <w:r>
              <w:rPr>
                <w:b w:val="0"/>
                <w:sz w:val="19"/>
              </w:rPr>
              <w:t>Each delegation log checked</w:t>
            </w:r>
          </w:p>
        </w:tc>
        <w:tc>
          <w:tcPr>
            <w:tcW w:type="dxa" w:w="1635"/>
          </w:tcPr>
          <w:p>
            <w:pPr>
              <w:spacing w:after="0"/>
            </w:pPr>
            <w:r>
              <w:rPr>
                <w:b w:val="0"/>
                <w:sz w:val="19"/>
              </w:rPr>
              <w:t>Regulatory Coordinator</w:t>
            </w:r>
          </w:p>
        </w:tc>
        <w:tc>
          <w:tcPr>
            <w:tcW w:type="dxa" w:w="1324"/>
          </w:tcPr>
          <w:p>
            <w:pPr>
              <w:spacing w:after="0"/>
            </w:pPr>
            <w:r>
              <w:rPr>
                <w:b w:val="0"/>
                <w:sz w:val="19"/>
              </w:rPr>
              <w:t>F-302-01</w:t>
            </w:r>
          </w:p>
        </w:tc>
        <w:tc>
          <w:tcPr>
            <w:tcW w:type="dxa" w:w="1077"/>
          </w:tcPr>
          <w:p>
            <w:pPr>
              <w:spacing w:after="0"/>
            </w:pPr>
            <w:r>
              <w:rPr>
                <w:b w:val="0"/>
                <w:sz w:val="19"/>
              </w:rPr>
              <w:t>SOP-02, 5.5.6</w:t>
            </w:r>
          </w:p>
        </w:tc>
      </w:tr>
      <w:tr>
        <w:trPr>
          <w:cantSplit w:val="true"/>
        </w:trPr>
        <w:tc>
          <w:tcPr>
            <w:tcW w:type="dxa" w:w="2601"/>
          </w:tcPr>
          <w:p>
            <w:pPr>
              <w:spacing w:after="0"/>
            </w:pPr>
            <w:r>
              <w:rPr>
                <w:b w:val="0"/>
                <w:sz w:val="19"/>
              </w:rPr>
              <w:t>Before each monitoring visit</w:t>
            </w:r>
          </w:p>
        </w:tc>
        <w:tc>
          <w:tcPr>
            <w:tcW w:type="dxa" w:w="3008"/>
          </w:tcPr>
          <w:p>
            <w:pPr>
              <w:spacing w:after="0"/>
            </w:pPr>
            <w:r>
              <w:rPr>
                <w:b w:val="0"/>
                <w:sz w:val="19"/>
              </w:rPr>
              <w:t>ISF checked against F-204-01</w:t>
            </w:r>
          </w:p>
        </w:tc>
        <w:tc>
          <w:tcPr>
            <w:tcW w:type="dxa" w:w="1635"/>
          </w:tcPr>
          <w:p>
            <w:pPr>
              <w:spacing w:after="0"/>
            </w:pPr>
            <w:r>
              <w:rPr>
                <w:b w:val="0"/>
                <w:sz w:val="19"/>
              </w:rPr>
              <w:t>Regulatory Coordinator</w:t>
            </w:r>
          </w:p>
        </w:tc>
        <w:tc>
          <w:tcPr>
            <w:tcW w:type="dxa" w:w="1324"/>
          </w:tcPr>
          <w:p>
            <w:pPr>
              <w:spacing w:after="0"/>
            </w:pPr>
            <w:r>
              <w:rPr>
                <w:b w:val="0"/>
                <w:sz w:val="19"/>
              </w:rPr>
              <w:t>F-204-01 (ISF checks)</w:t>
            </w:r>
          </w:p>
        </w:tc>
        <w:tc>
          <w:tcPr>
            <w:tcW w:type="dxa" w:w="1077"/>
          </w:tcPr>
          <w:p>
            <w:pPr>
              <w:spacing w:after="0"/>
            </w:pPr>
            <w:r>
              <w:rPr>
                <w:b w:val="0"/>
                <w:sz w:val="19"/>
              </w:rPr>
              <w:t>SOP-03, 5.8.2</w:t>
            </w:r>
          </w:p>
        </w:tc>
      </w:tr>
      <w:tr>
        <w:trPr>
          <w:cantSplit w:val="true"/>
        </w:trPr>
        <w:tc>
          <w:tcPr>
            <w:tcW w:type="dxa" w:w="2601"/>
          </w:tcPr>
          <w:p>
            <w:pPr>
              <w:spacing w:after="0"/>
            </w:pPr>
            <w:r>
              <w:rPr>
                <w:b w:val="0"/>
                <w:sz w:val="19"/>
              </w:rPr>
              <w:t>Before each monitoring visit, and before any return or destruction</w:t>
            </w:r>
          </w:p>
        </w:tc>
        <w:tc>
          <w:tcPr>
            <w:tcW w:type="dxa" w:w="3008"/>
          </w:tcPr>
          <w:p>
            <w:pPr>
              <w:spacing w:after="0"/>
            </w:pPr>
            <w:r>
              <w:rPr>
                <w:b w:val="0"/>
                <w:sz w:val="19"/>
              </w:rPr>
              <w:t>Physical IP stock reconciled against F-304-01, F-304-04 and IRT; expiry dates checked</w:t>
            </w:r>
          </w:p>
        </w:tc>
        <w:tc>
          <w:tcPr>
            <w:tcW w:type="dxa" w:w="1635"/>
          </w:tcPr>
          <w:p>
            <w:pPr>
              <w:spacing w:after="0"/>
            </w:pPr>
            <w:r>
              <w:rPr>
                <w:b w:val="0"/>
                <w:sz w:val="19"/>
              </w:rPr>
              <w:t>IP Manager</w:t>
            </w:r>
          </w:p>
        </w:tc>
        <w:tc>
          <w:tcPr>
            <w:tcW w:type="dxa" w:w="1324"/>
          </w:tcPr>
          <w:p>
            <w:pPr>
              <w:spacing w:after="0"/>
            </w:pPr>
            <w:r>
              <w:rPr>
                <w:b w:val="0"/>
                <w:sz w:val="19"/>
              </w:rPr>
              <w:t>F-304-01</w:t>
            </w:r>
          </w:p>
        </w:tc>
        <w:tc>
          <w:tcPr>
            <w:tcW w:type="dxa" w:w="1077"/>
          </w:tcPr>
          <w:p>
            <w:pPr>
              <w:spacing w:after="0"/>
            </w:pPr>
            <w:r>
              <w:rPr>
                <w:b w:val="0"/>
                <w:sz w:val="19"/>
              </w:rPr>
              <w:t>SOP-06, 5.8.2</w:t>
            </w:r>
          </w:p>
        </w:tc>
      </w:tr>
      <w:tr>
        <w:trPr>
          <w:cantSplit w:val="true"/>
        </w:trPr>
        <w:tc>
          <w:tcPr>
            <w:tcW w:type="dxa" w:w="2601"/>
          </w:tcPr>
          <w:p>
            <w:pPr>
              <w:spacing w:after="0"/>
            </w:pPr>
            <w:r>
              <w:rPr>
                <w:b w:val="0"/>
                <w:sz w:val="19"/>
              </w:rPr>
              <w:t>Before each monitoring visit</w:t>
            </w:r>
          </w:p>
        </w:tc>
        <w:tc>
          <w:tcPr>
            <w:tcW w:type="dxa" w:w="3008"/>
          </w:tcPr>
          <w:p>
            <w:pPr>
              <w:spacing w:after="0"/>
            </w:pPr>
            <w:r>
              <w:rPr>
                <w:b w:val="0"/>
                <w:sz w:val="19"/>
              </w:rPr>
              <w:t>Open queries reviewed</w:t>
            </w:r>
          </w:p>
        </w:tc>
        <w:tc>
          <w:tcPr>
            <w:tcW w:type="dxa" w:w="1635"/>
          </w:tcPr>
          <w:p>
            <w:pPr>
              <w:spacing w:after="0"/>
            </w:pPr>
            <w:r>
              <w:rPr>
                <w:b w:val="0"/>
                <w:sz w:val="19"/>
              </w:rPr>
              <w:t>CRC</w:t>
            </w:r>
          </w:p>
        </w:tc>
        <w:tc>
          <w:tcPr>
            <w:tcW w:type="dxa" w:w="1324"/>
          </w:tcPr>
          <w:p>
            <w:pPr>
              <w:spacing w:after="0"/>
            </w:pPr>
            <w:r>
              <w:rPr>
                <w:b w:val="0"/>
                <w:sz w:val="19"/>
              </w:rPr>
              <w:t>EDC</w:t>
            </w:r>
          </w:p>
        </w:tc>
        <w:tc>
          <w:tcPr>
            <w:tcW w:type="dxa" w:w="1077"/>
          </w:tcPr>
          <w:p>
            <w:pPr>
              <w:spacing w:after="0"/>
            </w:pPr>
            <w:r>
              <w:rPr>
                <w:b w:val="0"/>
                <w:sz w:val="19"/>
              </w:rPr>
              <w:t>SOP-07, 5.9.1</w:t>
            </w:r>
          </w:p>
        </w:tc>
      </w:tr>
      <w:tr>
        <w:trPr>
          <w:cantSplit w:val="true"/>
        </w:trPr>
        <w:tc>
          <w:tcPr>
            <w:tcW w:type="dxa" w:w="2601"/>
          </w:tcPr>
          <w:p>
            <w:pPr>
              <w:spacing w:after="0"/>
            </w:pPr>
            <w:r>
              <w:rPr>
                <w:b w:val="0"/>
                <w:sz w:val="19"/>
              </w:rPr>
              <w:t>Before and at each monitoring visit</w:t>
            </w:r>
          </w:p>
        </w:tc>
        <w:tc>
          <w:tcPr>
            <w:tcW w:type="dxa" w:w="3008"/>
          </w:tcPr>
          <w:p>
            <w:pPr>
              <w:spacing w:after="0"/>
            </w:pPr>
            <w:r>
              <w:rPr>
                <w:b w:val="0"/>
                <w:sz w:val="19"/>
              </w:rPr>
              <w:t>Deviation log reviewed before the visit and reconciled with the sponsor's list at the visit</w:t>
            </w:r>
          </w:p>
        </w:tc>
        <w:tc>
          <w:tcPr>
            <w:tcW w:type="dxa" w:w="1635"/>
          </w:tcPr>
          <w:p>
            <w:pPr>
              <w:spacing w:after="0"/>
            </w:pPr>
            <w:r>
              <w:rPr>
                <w:b w:val="0"/>
                <w:sz w:val="19"/>
              </w:rPr>
              <w:t>Lead CRC</w:t>
            </w:r>
          </w:p>
        </w:tc>
        <w:tc>
          <w:tcPr>
            <w:tcW w:type="dxa" w:w="1324"/>
          </w:tcPr>
          <w:p>
            <w:pPr>
              <w:spacing w:after="0"/>
            </w:pPr>
            <w:r>
              <w:rPr>
                <w:b w:val="0"/>
                <w:sz w:val="19"/>
              </w:rPr>
              <w:t>F-308-01</w:t>
            </w:r>
          </w:p>
        </w:tc>
        <w:tc>
          <w:tcPr>
            <w:tcW w:type="dxa" w:w="1077"/>
          </w:tcPr>
          <w:p>
            <w:pPr>
              <w:spacing w:after="0"/>
            </w:pPr>
            <w:r>
              <w:rPr>
                <w:b w:val="0"/>
                <w:sz w:val="19"/>
              </w:rPr>
              <w:t>SOP-08, 5.3.5 and 5.10.2</w:t>
            </w:r>
          </w:p>
        </w:tc>
      </w:tr>
      <w:tr>
        <w:trPr>
          <w:cantSplit w:val="true"/>
        </w:trPr>
        <w:tc>
          <w:tcPr>
            <w:tcW w:type="dxa" w:w="2601"/>
          </w:tcPr>
          <w:p>
            <w:pPr>
              <w:spacing w:after="0"/>
            </w:pPr>
            <w:r>
              <w:rPr>
                <w:b w:val="0"/>
                <w:sz w:val="19"/>
              </w:rPr>
              <w:t>Before each monitoring visit</w:t>
            </w:r>
          </w:p>
        </w:tc>
        <w:tc>
          <w:tcPr>
            <w:tcW w:type="dxa" w:w="3008"/>
          </w:tcPr>
          <w:p>
            <w:pPr>
              <w:spacing w:after="0"/>
            </w:pPr>
            <w:r>
              <w:rPr>
                <w:b w:val="0"/>
                <w:sz w:val="19"/>
              </w:rPr>
              <w:t>Each participant's AE log reconciled against concomitant medications, unscheduled visits and CS results</w:t>
            </w:r>
          </w:p>
        </w:tc>
        <w:tc>
          <w:tcPr>
            <w:tcW w:type="dxa" w:w="1635"/>
          </w:tcPr>
          <w:p>
            <w:pPr>
              <w:spacing w:after="0"/>
            </w:pPr>
            <w:r>
              <w:rPr>
                <w:b w:val="0"/>
                <w:sz w:val="19"/>
              </w:rPr>
              <w:t>CRC</w:t>
            </w:r>
          </w:p>
        </w:tc>
        <w:tc>
          <w:tcPr>
            <w:tcW w:type="dxa" w:w="1324"/>
          </w:tcPr>
          <w:p>
            <w:pPr>
              <w:spacing w:after="0"/>
            </w:pPr>
            <w:r>
              <w:rPr>
                <w:b w:val="0"/>
                <w:sz w:val="19"/>
              </w:rPr>
              <w:t>AE log (F-500-01 or source)</w:t>
            </w:r>
          </w:p>
        </w:tc>
        <w:tc>
          <w:tcPr>
            <w:tcW w:type="dxa" w:w="1077"/>
          </w:tcPr>
          <w:p>
            <w:pPr>
              <w:spacing w:after="0"/>
            </w:pPr>
            <w:r>
              <w:rPr>
                <w:b w:val="0"/>
                <w:sz w:val="19"/>
              </w:rPr>
              <w:t>SOP-09, 5.11.2</w:t>
            </w:r>
          </w:p>
        </w:tc>
      </w:tr>
      <w:tr>
        <w:trPr>
          <w:cantSplit w:val="true"/>
        </w:trPr>
        <w:tc>
          <w:tcPr>
            <w:tcW w:type="dxa" w:w="2601"/>
          </w:tcPr>
          <w:p>
            <w:pPr>
              <w:spacing w:after="0"/>
            </w:pPr>
            <w:r>
              <w:rPr>
                <w:b w:val="0"/>
                <w:sz w:val="19"/>
              </w:rPr>
              <w:t>Before each monitoring visit</w:t>
            </w:r>
          </w:p>
        </w:tc>
        <w:tc>
          <w:tcPr>
            <w:tcW w:type="dxa" w:w="3008"/>
          </w:tcPr>
          <w:p>
            <w:pPr>
              <w:spacing w:after="0"/>
            </w:pPr>
            <w:r>
              <w:rPr>
                <w:b w:val="0"/>
                <w:sz w:val="19"/>
              </w:rPr>
              <w:t>Missed and out-of-window visits, discontinuations and withdrawals reviewed against the retention plan</w:t>
            </w:r>
          </w:p>
        </w:tc>
        <w:tc>
          <w:tcPr>
            <w:tcW w:type="dxa" w:w="1635"/>
          </w:tcPr>
          <w:p>
            <w:pPr>
              <w:spacing w:after="0"/>
            </w:pPr>
            <w:r>
              <w:rPr>
                <w:b w:val="0"/>
                <w:sz w:val="19"/>
              </w:rPr>
              <w:t>Lead CRC</w:t>
            </w:r>
          </w:p>
        </w:tc>
        <w:tc>
          <w:tcPr>
            <w:tcW w:type="dxa" w:w="1324"/>
          </w:tcPr>
          <w:p>
            <w:pPr>
              <w:spacing w:after="0"/>
            </w:pPr>
            <w:r>
              <w:rPr>
                <w:b w:val="0"/>
                <w:sz w:val="19"/>
              </w:rPr>
              <w:t>Retention plan</w:t>
            </w:r>
          </w:p>
        </w:tc>
        <w:tc>
          <w:tcPr>
            <w:tcW w:type="dxa" w:w="1077"/>
          </w:tcPr>
          <w:p>
            <w:pPr>
              <w:spacing w:after="0"/>
            </w:pPr>
            <w:r>
              <w:rPr>
                <w:b w:val="0"/>
                <w:sz w:val="19"/>
              </w:rPr>
              <w:t>SOP-10, 5.2.3</w:t>
            </w:r>
          </w:p>
        </w:tc>
      </w:tr>
      <w:tr>
        <w:trPr>
          <w:cantSplit w:val="true"/>
        </w:trPr>
        <w:tc>
          <w:tcPr>
            <w:tcW w:type="dxa" w:w="2601"/>
          </w:tcPr>
          <w:p>
            <w:pPr>
              <w:spacing w:after="0"/>
            </w:pPr>
            <w:r>
              <w:rPr>
                <w:b w:val="0"/>
                <w:sz w:val="19"/>
              </w:rPr>
              <w:t>Each monitoring visit</w:t>
            </w:r>
          </w:p>
        </w:tc>
        <w:tc>
          <w:tcPr>
            <w:tcW w:type="dxa" w:w="3008"/>
          </w:tcPr>
          <w:p>
            <w:pPr>
              <w:spacing w:after="0"/>
            </w:pPr>
            <w:r>
              <w:rPr>
                <w:b w:val="0"/>
                <w:sz w:val="19"/>
              </w:rPr>
              <w:t>PI oversight note, including open monitoring actions</w:t>
            </w:r>
          </w:p>
        </w:tc>
        <w:tc>
          <w:tcPr>
            <w:tcW w:type="dxa" w:w="1635"/>
          </w:tcPr>
          <w:p>
            <w:pPr>
              <w:spacing w:after="0"/>
            </w:pPr>
            <w:r>
              <w:rPr>
                <w:b w:val="0"/>
                <w:sz w:val="19"/>
              </w:rPr>
              <w:t>PI</w:t>
            </w:r>
          </w:p>
        </w:tc>
        <w:tc>
          <w:tcPr>
            <w:tcW w:type="dxa" w:w="1324"/>
          </w:tcPr>
          <w:p>
            <w:pPr>
              <w:spacing w:after="0"/>
            </w:pPr>
            <w:r>
              <w:rPr>
                <w:b w:val="0"/>
                <w:sz w:val="19"/>
              </w:rPr>
              <w:t>F-306-01, F-600-02</w:t>
            </w:r>
          </w:p>
        </w:tc>
        <w:tc>
          <w:tcPr>
            <w:tcW w:type="dxa" w:w="1077"/>
          </w:tcPr>
          <w:p>
            <w:pPr>
              <w:spacing w:after="0"/>
            </w:pPr>
            <w:r>
              <w:rPr>
                <w:b w:val="0"/>
                <w:sz w:val="19"/>
              </w:rPr>
              <w:t>SOP-02, 5.6.3; SOP-13, 5.3.3</w:t>
            </w:r>
          </w:p>
        </w:tc>
      </w:tr>
      <w:tr>
        <w:trPr>
          <w:cantSplit w:val="true"/>
        </w:trPr>
        <w:tc>
          <w:tcPr>
            <w:tcW w:type="dxa" w:w="2601"/>
          </w:tcPr>
          <w:p>
            <w:pPr>
              <w:spacing w:after="0"/>
            </w:pPr>
            <w:r>
              <w:rPr>
                <w:b w:val="0"/>
                <w:sz w:val="19"/>
              </w:rPr>
              <w:t>Before each sponsor qualification visit, initiation visit and inspection</w:t>
            </w:r>
          </w:p>
        </w:tc>
        <w:tc>
          <w:tcPr>
            <w:tcW w:type="dxa" w:w="3008"/>
          </w:tcPr>
          <w:p>
            <w:pPr>
              <w:spacing w:after="0"/>
            </w:pPr>
            <w:r>
              <w:rPr>
                <w:b w:val="0"/>
                <w:sz w:val="19"/>
              </w:rPr>
              <w:t>CV, license and GCP certificate of each person on the delegation log current and filed</w:t>
            </w:r>
          </w:p>
        </w:tc>
        <w:tc>
          <w:tcPr>
            <w:tcW w:type="dxa" w:w="1635"/>
          </w:tcPr>
          <w:p>
            <w:pPr>
              <w:spacing w:after="0"/>
            </w:pPr>
            <w:r>
              <w:rPr>
                <w:b w:val="0"/>
                <w:sz w:val="19"/>
              </w:rPr>
              <w:t>Regulatory Coordinator</w:t>
            </w:r>
          </w:p>
        </w:tc>
        <w:tc>
          <w:tcPr>
            <w:tcW w:type="dxa" w:w="1324"/>
          </w:tcPr>
          <w:p>
            <w:pPr>
              <w:spacing w:after="0"/>
            </w:pPr>
            <w:r>
              <w:rPr>
                <w:b w:val="0"/>
                <w:sz w:val="19"/>
              </w:rPr>
              <w:t>ISF</w:t>
            </w:r>
          </w:p>
        </w:tc>
        <w:tc>
          <w:tcPr>
            <w:tcW w:type="dxa" w:w="1077"/>
          </w:tcPr>
          <w:p>
            <w:pPr>
              <w:spacing w:after="0"/>
            </w:pPr>
            <w:r>
              <w:rPr>
                <w:b w:val="0"/>
                <w:sz w:val="19"/>
              </w:rPr>
              <w:t>SOP-01, 5.11.3</w:t>
            </w:r>
          </w:p>
        </w:tc>
      </w:tr>
      <w:tr>
        <w:trPr>
          <w:cantSplit w:val="true"/>
        </w:trPr>
        <w:tc>
          <w:tcPr>
            <w:tcW w:type="dxa" w:w="2601"/>
          </w:tcPr>
          <w:p>
            <w:pPr>
              <w:spacing w:after="0"/>
            </w:pPr>
            <w:r>
              <w:rPr>
                <w:b w:val="0"/>
                <w:sz w:val="19"/>
              </w:rPr>
              <w:t>Each person added to a new study</w:t>
            </w:r>
          </w:p>
        </w:tc>
        <w:tc>
          <w:tcPr>
            <w:tcW w:type="dxa" w:w="3008"/>
          </w:tcPr>
          <w:p>
            <w:pPr>
              <w:spacing w:after="0"/>
            </w:pPr>
            <w:r>
              <w:rPr>
                <w:b w:val="0"/>
                <w:sz w:val="19"/>
              </w:rPr>
              <w:t>Qualification file reviewed against F-103-02</w:t>
            </w:r>
          </w:p>
        </w:tc>
        <w:tc>
          <w:tcPr>
            <w:tcW w:type="dxa" w:w="1635"/>
          </w:tcPr>
          <w:p>
            <w:pPr>
              <w:spacing w:after="0"/>
            </w:pPr>
            <w:r>
              <w:rPr>
                <w:b w:val="0"/>
                <w:sz w:val="19"/>
              </w:rPr>
              <w:t>Quality Lead</w:t>
            </w:r>
          </w:p>
        </w:tc>
        <w:tc>
          <w:tcPr>
            <w:tcW w:type="dxa" w:w="1324"/>
          </w:tcPr>
          <w:p>
            <w:pPr>
              <w:spacing w:after="0"/>
            </w:pPr>
            <w:r>
              <w:rPr>
                <w:b w:val="0"/>
                <w:sz w:val="19"/>
              </w:rPr>
              <w:t>F-103-02</w:t>
            </w:r>
          </w:p>
        </w:tc>
        <w:tc>
          <w:tcPr>
            <w:tcW w:type="dxa" w:w="1077"/>
          </w:tcPr>
          <w:p>
            <w:pPr>
              <w:spacing w:after="0"/>
            </w:pPr>
            <w:r>
              <w:rPr>
                <w:b w:val="0"/>
                <w:sz w:val="19"/>
              </w:rPr>
              <w:t>SOP-01, 5.11.3</w:t>
            </w:r>
          </w:p>
        </w:tc>
      </w:tr>
      <w:tr>
        <w:trPr>
          <w:cantSplit w:val="true"/>
        </w:trPr>
        <w:tc>
          <w:tcPr>
            <w:tcW w:type="dxa" w:w="2601"/>
          </w:tcPr>
          <w:p>
            <w:pPr>
              <w:spacing w:after="0"/>
            </w:pPr>
            <w:r>
              <w:rPr>
                <w:b w:val="0"/>
                <w:sz w:val="19"/>
              </w:rPr>
              <w:t>Each study start</w:t>
            </w:r>
          </w:p>
        </w:tc>
        <w:tc>
          <w:tcPr>
            <w:tcW w:type="dxa" w:w="3008"/>
          </w:tcPr>
          <w:p>
            <w:pPr>
              <w:spacing w:after="0"/>
            </w:pPr>
            <w:r>
              <w:rPr>
                <w:b w:val="0"/>
                <w:sz w:val="19"/>
              </w:rPr>
              <w:t>IRB reportable-event policy re-checked; before first enrollment, each person delegated safety reporting has the sponsor's safety training and system access</w:t>
            </w:r>
          </w:p>
        </w:tc>
        <w:tc>
          <w:tcPr>
            <w:tcW w:type="dxa" w:w="1635"/>
          </w:tcPr>
          <w:p>
            <w:pPr>
              <w:spacing w:after="0"/>
            </w:pPr>
            <w:r>
              <w:rPr>
                <w:b w:val="0"/>
                <w:sz w:val="19"/>
              </w:rPr>
              <w:t>Regulatory Coordinator; PI</w:t>
            </w:r>
          </w:p>
        </w:tc>
        <w:tc>
          <w:tcPr>
            <w:tcW w:type="dxa" w:w="1324"/>
          </w:tcPr>
          <w:p>
            <w:pPr>
              <w:spacing w:after="0"/>
            </w:pPr>
            <w:r>
              <w:rPr>
                <w:b w:val="0"/>
                <w:sz w:val="19"/>
              </w:rPr>
              <w:t>F-502-01 IRB page</w:t>
            </w:r>
          </w:p>
        </w:tc>
        <w:tc>
          <w:tcPr>
            <w:tcW w:type="dxa" w:w="1077"/>
          </w:tcPr>
          <w:p>
            <w:pPr>
              <w:spacing w:after="0"/>
            </w:pPr>
            <w:r>
              <w:rPr>
                <w:b w:val="0"/>
                <w:sz w:val="19"/>
              </w:rPr>
              <w:t>SOP-09, 5.1.2 and 5.1.3</w:t>
            </w:r>
          </w:p>
        </w:tc>
      </w:tr>
      <w:tr>
        <w:trPr>
          <w:cantSplit w:val="true"/>
        </w:trPr>
        <w:tc>
          <w:tcPr>
            <w:tcW w:type="dxa" w:w="2601"/>
          </w:tcPr>
          <w:p>
            <w:pPr>
              <w:spacing w:after="0"/>
            </w:pPr>
            <w:r>
              <w:rPr>
                <w:b w:val="0"/>
                <w:sz w:val="19"/>
              </w:rPr>
              <w:t>Each study without a Sub-I, at feasibility and before enrollment</w:t>
            </w:r>
          </w:p>
        </w:tc>
        <w:tc>
          <w:tcPr>
            <w:tcW w:type="dxa" w:w="3008"/>
          </w:tcPr>
          <w:p>
            <w:pPr>
              <w:spacing w:after="0"/>
            </w:pPr>
            <w:r>
              <w:rPr>
                <w:b w:val="0"/>
                <w:sz w:val="19"/>
              </w:rPr>
              <w:t>Covering investigator engaged and paid for, then listed for the study</w:t>
            </w:r>
          </w:p>
        </w:tc>
        <w:tc>
          <w:tcPr>
            <w:tcW w:type="dxa" w:w="1635"/>
          </w:tcPr>
          <w:p>
            <w:pPr>
              <w:spacing w:after="0"/>
            </w:pPr>
            <w:r>
              <w:rPr>
                <w:b w:val="0"/>
                <w:sz w:val="19"/>
              </w:rPr>
              <w:t>Site Director; PI</w:t>
            </w:r>
          </w:p>
        </w:tc>
        <w:tc>
          <w:tcPr>
            <w:tcW w:type="dxa" w:w="1324"/>
          </w:tcPr>
          <w:p>
            <w:pPr>
              <w:spacing w:after="0"/>
            </w:pPr>
            <w:r>
              <w:rPr>
                <w:b w:val="0"/>
                <w:sz w:val="19"/>
              </w:rPr>
              <w:t>F-705-01</w:t>
            </w:r>
          </w:p>
        </w:tc>
        <w:tc>
          <w:tcPr>
            <w:tcW w:type="dxa" w:w="1077"/>
          </w:tcPr>
          <w:p>
            <w:pPr>
              <w:spacing w:after="0"/>
            </w:pPr>
            <w:r>
              <w:rPr>
                <w:b w:val="0"/>
                <w:sz w:val="19"/>
              </w:rPr>
              <w:t>SOP-16, 5.6.2</w:t>
            </w:r>
          </w:p>
        </w:tc>
      </w:tr>
      <w:tr>
        <w:trPr>
          <w:cantSplit w:val="true"/>
        </w:trPr>
        <w:tc>
          <w:tcPr>
            <w:tcW w:type="dxa" w:w="2601"/>
          </w:tcPr>
          <w:p>
            <w:pPr>
              <w:spacing w:after="0"/>
            </w:pPr>
            <w:r>
              <w:rPr>
                <w:b w:val="0"/>
                <w:sz w:val="19"/>
              </w:rPr>
              <w:t>Before each study activation</w:t>
            </w:r>
          </w:p>
        </w:tc>
        <w:tc>
          <w:tcPr>
            <w:tcW w:type="dxa" w:w="3008"/>
          </w:tcPr>
          <w:p>
            <w:pPr>
              <w:spacing w:after="0"/>
            </w:pPr>
            <w:r>
              <w:rPr>
                <w:b w:val="0"/>
                <w:sz w:val="19"/>
              </w:rPr>
              <w:t>Research billing confirmed: no-billing attestation, or coverage analysis approved under SOP-M2</w:t>
            </w:r>
          </w:p>
        </w:tc>
        <w:tc>
          <w:tcPr>
            <w:tcW w:type="dxa" w:w="1635"/>
          </w:tcPr>
          <w:p>
            <w:pPr>
              <w:spacing w:after="0"/>
            </w:pPr>
            <w:r>
              <w:rPr>
                <w:b w:val="0"/>
                <w:sz w:val="19"/>
              </w:rPr>
              <w:t>Finance / Contracts Lead</w:t>
            </w:r>
          </w:p>
        </w:tc>
        <w:tc>
          <w:tcPr>
            <w:tcW w:type="dxa" w:w="1324"/>
          </w:tcPr>
          <w:p>
            <w:pPr>
              <w:spacing w:after="0"/>
            </w:pPr>
            <w:r>
              <w:rPr>
                <w:b w:val="0"/>
                <w:sz w:val="19"/>
              </w:rPr>
              <w:t>F-205-01</w:t>
            </w:r>
          </w:p>
        </w:tc>
        <w:tc>
          <w:tcPr>
            <w:tcW w:type="dxa" w:w="1077"/>
          </w:tcPr>
          <w:p>
            <w:pPr>
              <w:spacing w:after="0"/>
            </w:pPr>
            <w:r>
              <w:rPr>
                <w:b w:val="0"/>
                <w:sz w:val="19"/>
              </w:rPr>
              <w:t>SOP-03, 5.10.5</w:t>
            </w:r>
          </w:p>
        </w:tc>
      </w:tr>
      <w:tr>
        <w:trPr>
          <w:cantSplit w:val="true"/>
        </w:trPr>
        <w:tc>
          <w:tcPr>
            <w:tcW w:type="dxa" w:w="2601"/>
          </w:tcPr>
          <w:p>
            <w:pPr>
              <w:spacing w:after="0"/>
            </w:pPr>
            <w:r>
              <w:rPr>
                <w:b w:val="0"/>
                <w:sz w:val="19"/>
              </w:rPr>
              <w:t>Before each sponsor invoice for participant costs, and at closeout</w:t>
            </w:r>
          </w:p>
        </w:tc>
        <w:tc>
          <w:tcPr>
            <w:tcW w:type="dxa" w:w="3008"/>
          </w:tcPr>
          <w:p>
            <w:pPr>
              <w:spacing w:after="0"/>
            </w:pPr>
            <w:r>
              <w:rPr>
                <w:b w:val="0"/>
                <w:sz w:val="19"/>
              </w:rPr>
              <w:t>Participant payments reconciled; the person who approves payments does not reconcile them</w:t>
            </w:r>
          </w:p>
        </w:tc>
        <w:tc>
          <w:tcPr>
            <w:tcW w:type="dxa" w:w="1635"/>
          </w:tcPr>
          <w:p>
            <w:pPr>
              <w:spacing w:after="0"/>
            </w:pPr>
            <w:r>
              <w:rPr>
                <w:b w:val="0"/>
                <w:sz w:val="19"/>
              </w:rPr>
              <w:t>Finance / Contracts Lead</w:t>
            </w:r>
          </w:p>
        </w:tc>
        <w:tc>
          <w:tcPr>
            <w:tcW w:type="dxa" w:w="1324"/>
          </w:tcPr>
          <w:p>
            <w:pPr>
              <w:spacing w:after="0"/>
            </w:pPr>
            <w:r>
              <w:rPr>
                <w:b w:val="0"/>
                <w:sz w:val="19"/>
              </w:rPr>
              <w:t>F-310-01</w:t>
            </w:r>
          </w:p>
        </w:tc>
        <w:tc>
          <w:tcPr>
            <w:tcW w:type="dxa" w:w="1077"/>
          </w:tcPr>
          <w:p>
            <w:pPr>
              <w:spacing w:after="0"/>
            </w:pPr>
            <w:r>
              <w:rPr>
                <w:b w:val="0"/>
                <w:sz w:val="19"/>
              </w:rPr>
              <w:t>SOP-10, 5.10.1</w:t>
            </w:r>
          </w:p>
        </w:tc>
      </w:tr>
      <w:tr>
        <w:trPr>
          <w:cantSplit w:val="true"/>
        </w:trPr>
        <w:tc>
          <w:tcPr>
            <w:tcW w:type="dxa" w:w="2601"/>
          </w:tcPr>
          <w:p>
            <w:pPr>
              <w:spacing w:after="0"/>
            </w:pPr>
            <w:r>
              <w:rPr>
                <w:b w:val="0"/>
                <w:sz w:val="19"/>
              </w:rPr>
              <w:t>Before each sponsor invoice, and at closeout (sites that also bill clinical care)</w:t>
            </w:r>
          </w:p>
        </w:tc>
        <w:tc>
          <w:tcPr>
            <w:tcW w:type="dxa" w:w="3008"/>
          </w:tcPr>
          <w:p>
            <w:pPr>
              <w:spacing w:after="0"/>
            </w:pPr>
            <w:r>
              <w:rPr>
                <w:b w:val="0"/>
                <w:sz w:val="19"/>
              </w:rPr>
              <w:t>No claim created for a study item</w:t>
            </w:r>
          </w:p>
        </w:tc>
        <w:tc>
          <w:tcPr>
            <w:tcW w:type="dxa" w:w="1635"/>
          </w:tcPr>
          <w:p>
            <w:pPr>
              <w:spacing w:after="0"/>
            </w:pPr>
            <w:r>
              <w:rPr>
                <w:b w:val="0"/>
                <w:sz w:val="19"/>
              </w:rPr>
              <w:t>Finance / Contracts Lead</w:t>
            </w:r>
          </w:p>
        </w:tc>
        <w:tc>
          <w:tcPr>
            <w:tcW w:type="dxa" w:w="1324"/>
          </w:tcPr>
          <w:p>
            <w:pPr>
              <w:spacing w:after="0"/>
            </w:pPr>
            <w:r>
              <w:rPr>
                <w:b w:val="0"/>
                <w:sz w:val="19"/>
              </w:rPr>
              <w:t>F-205-01 (no-claim checks)</w:t>
            </w:r>
          </w:p>
        </w:tc>
        <w:tc>
          <w:tcPr>
            <w:tcW w:type="dxa" w:w="1077"/>
          </w:tcPr>
          <w:p>
            <w:pPr>
              <w:spacing w:after="0"/>
            </w:pPr>
            <w:r>
              <w:rPr>
                <w:b w:val="0"/>
                <w:sz w:val="19"/>
              </w:rPr>
              <w:t>SOP-03, 5.10.5</w:t>
            </w:r>
          </w:p>
        </w:tc>
      </w:tr>
      <w:tr>
        <w:trPr>
          <w:cantSplit w:val="true"/>
        </w:trPr>
        <w:tc>
          <w:tcPr>
            <w:tcW w:type="dxa" w:w="2601"/>
          </w:tcPr>
          <w:p>
            <w:pPr>
              <w:spacing w:after="0"/>
            </w:pPr>
            <w:r>
              <w:rPr>
                <w:b w:val="0"/>
                <w:sz w:val="19"/>
              </w:rPr>
              <w:t>Each card restock, and at closeout</w:t>
            </w:r>
          </w:p>
        </w:tc>
        <w:tc>
          <w:tcPr>
            <w:tcW w:type="dxa" w:w="3008"/>
          </w:tcPr>
          <w:p>
            <w:pPr>
              <w:spacing w:after="0"/>
            </w:pPr>
            <w:r>
              <w:rPr>
                <w:b w:val="0"/>
                <w:sz w:val="19"/>
              </w:rPr>
              <w:t>Unassigned card stock counted by someone other than the card issuer</w:t>
            </w:r>
          </w:p>
        </w:tc>
        <w:tc>
          <w:tcPr>
            <w:tcW w:type="dxa" w:w="1635"/>
          </w:tcPr>
          <w:p>
            <w:pPr>
              <w:spacing w:after="0"/>
            </w:pPr>
            <w:r>
              <w:rPr>
                <w:b w:val="0"/>
                <w:sz w:val="19"/>
              </w:rPr>
              <w:t>CRC; Site Director or Quality Lead initials where one person handles cards</w:t>
            </w:r>
          </w:p>
        </w:tc>
        <w:tc>
          <w:tcPr>
            <w:tcW w:type="dxa" w:w="1324"/>
          </w:tcPr>
          <w:p>
            <w:pPr>
              <w:spacing w:after="0"/>
            </w:pPr>
            <w:r>
              <w:rPr>
                <w:b w:val="0"/>
                <w:sz w:val="19"/>
              </w:rPr>
              <w:t>Initialed count</w:t>
            </w:r>
          </w:p>
        </w:tc>
        <w:tc>
          <w:tcPr>
            <w:tcW w:type="dxa" w:w="1077"/>
          </w:tcPr>
          <w:p>
            <w:pPr>
              <w:spacing w:after="0"/>
            </w:pPr>
            <w:r>
              <w:rPr>
                <w:b w:val="0"/>
                <w:sz w:val="19"/>
              </w:rPr>
              <w:t>SOP-10, 5.8.2</w:t>
            </w:r>
          </w:p>
        </w:tc>
      </w:tr>
      <w:tr>
        <w:trPr>
          <w:cantSplit w:val="true"/>
        </w:trPr>
        <w:tc>
          <w:tcPr>
            <w:tcW w:type="dxa" w:w="2601"/>
          </w:tcPr>
          <w:p>
            <w:pPr>
              <w:spacing w:after="0"/>
            </w:pPr>
            <w:r>
              <w:rPr>
                <w:b w:val="0"/>
                <w:sz w:val="19"/>
              </w:rPr>
              <w:t>Each IP return</w:t>
            </w:r>
          </w:p>
        </w:tc>
        <w:tc>
          <w:tcPr>
            <w:tcW w:type="dxa" w:w="3008"/>
          </w:tcPr>
          <w:p>
            <w:pPr>
              <w:spacing w:after="0"/>
            </w:pPr>
            <w:r>
              <w:rPr>
                <w:b w:val="0"/>
                <w:sz w:val="19"/>
              </w:rPr>
              <w:t>Returned units counted and compliance recorded against the quantity dispensed</w:t>
            </w:r>
          </w:p>
        </w:tc>
        <w:tc>
          <w:tcPr>
            <w:tcW w:type="dxa" w:w="1635"/>
          </w:tcPr>
          <w:p>
            <w:pPr>
              <w:spacing w:after="0"/>
            </w:pPr>
            <w:r>
              <w:rPr>
                <w:b w:val="0"/>
                <w:sz w:val="19"/>
              </w:rPr>
              <w:t>Delegated staff member</w:t>
            </w:r>
          </w:p>
        </w:tc>
        <w:tc>
          <w:tcPr>
            <w:tcW w:type="dxa" w:w="1324"/>
          </w:tcPr>
          <w:p>
            <w:pPr>
              <w:spacing w:after="0"/>
            </w:pPr>
            <w:r>
              <w:rPr>
                <w:b w:val="0"/>
                <w:sz w:val="19"/>
              </w:rPr>
              <w:t>F-304-04</w:t>
            </w:r>
          </w:p>
        </w:tc>
        <w:tc>
          <w:tcPr>
            <w:tcW w:type="dxa" w:w="1077"/>
          </w:tcPr>
          <w:p>
            <w:pPr>
              <w:spacing w:after="0"/>
            </w:pPr>
            <w:r>
              <w:rPr>
                <w:b w:val="0"/>
                <w:sz w:val="19"/>
              </w:rPr>
              <w:t>SOP-06, 5.7.1</w:t>
            </w:r>
          </w:p>
        </w:tc>
      </w:tr>
      <w:tr>
        <w:trPr>
          <w:cantSplit w:val="true"/>
        </w:trPr>
        <w:tc>
          <w:tcPr>
            <w:tcW w:type="dxa" w:w="2601"/>
          </w:tcPr>
          <w:p>
            <w:pPr>
              <w:spacing w:after="0"/>
            </w:pPr>
            <w:r>
              <w:rPr>
                <w:b w:val="0"/>
                <w:sz w:val="19"/>
              </w:rPr>
              <w:t>Each controlled-substance receipt, reconciliation, return or destruction</w:t>
            </w:r>
          </w:p>
        </w:tc>
        <w:tc>
          <w:tcPr>
            <w:tcW w:type="dxa" w:w="3008"/>
          </w:tcPr>
          <w:p>
            <w:pPr>
              <w:spacing w:after="0"/>
            </w:pPr>
            <w:r>
              <w:rPr>
                <w:b w:val="0"/>
                <w:sz w:val="19"/>
              </w:rPr>
              <w:t xml:space="preserve">Two-person count (in a blinded study, a second unblinded counter or the SOP-06, 5.9.5 alternative); where one staff member is available, physical re-count by the PI or another delegated person within </w:t>
            </w:r>
            <w:r>
              <w:rPr>
                <w:b w:val="0"/>
                <w:sz w:val="19"/>
                <w:highlight w:val="green"/>
              </w:rPr>
              <w:t>[DEFAULT: 5 business days]</w:t>
            </w:r>
            <w:r>
              <w:rPr>
                <w:b w:val="0"/>
                <w:sz w:val="19"/>
              </w:rPr>
              <w:t>; where the counter is the only person with access, a re-count observed by the monitor or independent reviewer at their next on-site visit</w:t>
            </w:r>
          </w:p>
        </w:tc>
        <w:tc>
          <w:tcPr>
            <w:tcW w:type="dxa" w:w="1635"/>
          </w:tcPr>
          <w:p>
            <w:pPr>
              <w:spacing w:after="0"/>
            </w:pPr>
            <w:r>
              <w:rPr>
                <w:b w:val="0"/>
                <w:sz w:val="19"/>
              </w:rPr>
              <w:t>IP Manager</w:t>
            </w:r>
          </w:p>
        </w:tc>
        <w:tc>
          <w:tcPr>
            <w:tcW w:type="dxa" w:w="1324"/>
          </w:tcPr>
          <w:p>
            <w:pPr>
              <w:spacing w:after="0"/>
            </w:pPr>
            <w:r>
              <w:rPr>
                <w:b w:val="0"/>
                <w:sz w:val="19"/>
              </w:rPr>
              <w:t>F-304-01 (re-count date and observer)</w:t>
            </w:r>
          </w:p>
        </w:tc>
        <w:tc>
          <w:tcPr>
            <w:tcW w:type="dxa" w:w="1077"/>
          </w:tcPr>
          <w:p>
            <w:pPr>
              <w:spacing w:after="0"/>
            </w:pPr>
            <w:r>
              <w:rPr>
                <w:b w:val="0"/>
                <w:sz w:val="19"/>
              </w:rPr>
              <w:t>SOP-06, 5.9.4 and 5.9.5</w:t>
            </w:r>
          </w:p>
        </w:tc>
      </w:tr>
      <w:tr>
        <w:trPr>
          <w:cantSplit w:val="true"/>
        </w:trPr>
        <w:tc>
          <w:tcPr>
            <w:tcW w:type="dxa" w:w="2601"/>
          </w:tcPr>
          <w:p>
            <w:pPr>
              <w:spacing w:after="0"/>
            </w:pPr>
            <w:r>
              <w:rPr>
                <w:b w:val="0"/>
                <w:sz w:val="19"/>
              </w:rPr>
              <w:t>Each CAPA action due date</w:t>
            </w:r>
          </w:p>
        </w:tc>
        <w:tc>
          <w:tcPr>
            <w:tcW w:type="dxa" w:w="3008"/>
          </w:tcPr>
          <w:p>
            <w:pPr>
              <w:spacing w:after="0"/>
            </w:pPr>
            <w:r>
              <w:rPr>
                <w:b w:val="0"/>
                <w:sz w:val="19"/>
              </w:rPr>
              <w:t>Follow-up; extensions recorded before the date</w:t>
            </w:r>
          </w:p>
        </w:tc>
        <w:tc>
          <w:tcPr>
            <w:tcW w:type="dxa" w:w="1635"/>
          </w:tcPr>
          <w:p>
            <w:pPr>
              <w:spacing w:after="0"/>
            </w:pPr>
            <w:r>
              <w:rPr>
                <w:b w:val="0"/>
                <w:sz w:val="19"/>
              </w:rPr>
              <w:t>Quality Lead</w:t>
            </w:r>
          </w:p>
        </w:tc>
        <w:tc>
          <w:tcPr>
            <w:tcW w:type="dxa" w:w="1324"/>
          </w:tcPr>
          <w:p>
            <w:pPr>
              <w:spacing w:after="0"/>
            </w:pPr>
            <w:r>
              <w:rPr>
                <w:b w:val="0"/>
                <w:sz w:val="19"/>
              </w:rPr>
              <w:t>F-703-02</w:t>
            </w:r>
          </w:p>
        </w:tc>
        <w:tc>
          <w:tcPr>
            <w:tcW w:type="dxa" w:w="1077"/>
          </w:tcPr>
          <w:p>
            <w:pPr>
              <w:spacing w:after="0"/>
            </w:pPr>
            <w:r>
              <w:rPr>
                <w:b w:val="0"/>
                <w:sz w:val="19"/>
              </w:rPr>
              <w:t>SOP-08, 5.9.1</w:t>
            </w:r>
          </w:p>
        </w:tc>
      </w:tr>
      <w:tr>
        <w:trPr>
          <w:cantSplit w:val="true"/>
        </w:trPr>
        <w:tc>
          <w:tcPr>
            <w:tcW w:type="dxa" w:w="2601"/>
          </w:tcPr>
          <w:p>
            <w:pPr>
              <w:spacing w:after="0"/>
            </w:pPr>
            <w:r>
              <w:rPr>
                <w:b w:val="0"/>
                <w:sz w:val="19"/>
              </w:rPr>
              <w:t>Each CAPA after its actions are complete (CAPA effectiveness check)</w:t>
            </w:r>
          </w:p>
        </w:tc>
        <w:tc>
          <w:tcPr>
            <w:tcW w:type="dxa" w:w="3008"/>
          </w:tcPr>
          <w:p>
            <w:pPr>
              <w:spacing w:after="0"/>
            </w:pPr>
            <w:r>
              <w:rPr>
                <w:b w:val="0"/>
                <w:sz w:val="19"/>
              </w:rPr>
              <w:t>Later of 3 months or next 10 occurrences; rare activities: next 3 occurrences or 12 months</w:t>
            </w:r>
          </w:p>
        </w:tc>
        <w:tc>
          <w:tcPr>
            <w:tcW w:type="dxa" w:w="1635"/>
          </w:tcPr>
          <w:p>
            <w:pPr>
              <w:spacing w:after="0"/>
            </w:pPr>
            <w:r>
              <w:rPr>
                <w:b w:val="0"/>
                <w:sz w:val="19"/>
              </w:rPr>
              <w:t>Quality Lead or a person other than the CAPA owner (SOP-08 fallback)</w:t>
            </w:r>
          </w:p>
        </w:tc>
        <w:tc>
          <w:tcPr>
            <w:tcW w:type="dxa" w:w="1324"/>
          </w:tcPr>
          <w:p>
            <w:pPr>
              <w:spacing w:after="0"/>
            </w:pPr>
            <w:r>
              <w:rPr>
                <w:b w:val="0"/>
                <w:sz w:val="19"/>
              </w:rPr>
              <w:t>F-703-01</w:t>
            </w:r>
          </w:p>
        </w:tc>
        <w:tc>
          <w:tcPr>
            <w:tcW w:type="dxa" w:w="1077"/>
          </w:tcPr>
          <w:p>
            <w:pPr>
              <w:spacing w:after="0"/>
            </w:pPr>
            <w:r>
              <w:rPr>
                <w:b w:val="0"/>
                <w:sz w:val="19"/>
              </w:rPr>
              <w:t>SOP-08, 5.9.2</w:t>
            </w:r>
          </w:p>
        </w:tc>
      </w:tr>
      <w:tr>
        <w:trPr>
          <w:cantSplit w:val="true"/>
        </w:trPr>
        <w:tc>
          <w:tcPr>
            <w:tcW w:type="dxa" w:w="2601"/>
          </w:tcPr>
          <w:p>
            <w:pPr>
              <w:spacing w:after="0"/>
            </w:pPr>
            <w:r>
              <w:rPr>
                <w:b w:val="0"/>
                <w:sz w:val="19"/>
              </w:rPr>
              <w:t>Each investigator's 1-year date after study completion</w:t>
            </w:r>
          </w:p>
        </w:tc>
        <w:tc>
          <w:tcPr>
            <w:tcW w:type="dxa" w:w="3008"/>
          </w:tcPr>
          <w:p>
            <w:pPr>
              <w:spacing w:after="0"/>
            </w:pPr>
            <w:r>
              <w:rPr>
                <w:b w:val="0"/>
                <w:sz w:val="19"/>
              </w:rPr>
              <w:t>Confirmation of no unreported financial interest change</w:t>
            </w:r>
          </w:p>
        </w:tc>
        <w:tc>
          <w:tcPr>
            <w:tcW w:type="dxa" w:w="1635"/>
          </w:tcPr>
          <w:p>
            <w:pPr>
              <w:spacing w:after="0"/>
            </w:pPr>
            <w:r>
              <w:rPr>
                <w:b w:val="0"/>
                <w:sz w:val="19"/>
              </w:rPr>
              <w:t>Regulatory Coordinator</w:t>
            </w:r>
          </w:p>
        </w:tc>
        <w:tc>
          <w:tcPr>
            <w:tcW w:type="dxa" w:w="1324"/>
          </w:tcPr>
          <w:p>
            <w:pPr>
              <w:spacing w:after="0"/>
            </w:pPr>
            <w:r>
              <w:rPr>
                <w:b w:val="0"/>
                <w:sz w:val="19"/>
              </w:rPr>
              <w:t>Financial disclosure file (ISF)</w:t>
            </w:r>
          </w:p>
        </w:tc>
        <w:tc>
          <w:tcPr>
            <w:tcW w:type="dxa" w:w="1077"/>
          </w:tcPr>
          <w:p>
            <w:pPr>
              <w:spacing w:after="0"/>
            </w:pPr>
            <w:r>
              <w:rPr>
                <w:b w:val="0"/>
                <w:sz w:val="19"/>
              </w:rPr>
              <w:t>SOP-02, 5.8.3</w:t>
            </w:r>
          </w:p>
        </w:tc>
      </w:tr>
      <w:tr>
        <w:trPr>
          <w:cantSplit w:val="true"/>
        </w:trPr>
        <w:tc>
          <w:tcPr>
            <w:tcW w:type="dxa" w:w="2601"/>
          </w:tcPr>
          <w:p>
            <w:pPr>
              <w:spacing w:after="0"/>
            </w:pPr>
            <w:r>
              <w:rPr>
                <w:b w:val="0"/>
                <w:sz w:val="19"/>
              </w:rPr>
              <w:t>Each sponsor payment (SOP-M2, if adopted)</w:t>
            </w:r>
          </w:p>
        </w:tc>
        <w:tc>
          <w:tcPr>
            <w:tcW w:type="dxa" w:w="3008"/>
          </w:tcPr>
          <w:p>
            <w:pPr>
              <w:spacing w:after="0"/>
            </w:pPr>
            <w:r>
              <w:rPr>
                <w:b w:val="0"/>
                <w:sz w:val="19"/>
              </w:rPr>
              <w:t>Payment reconciled against visits, invoices and holdback; no sponsor-paid item billed to an insurer</w:t>
            </w:r>
          </w:p>
        </w:tc>
        <w:tc>
          <w:tcPr>
            <w:tcW w:type="dxa" w:w="1635"/>
          </w:tcPr>
          <w:p>
            <w:pPr>
              <w:spacing w:after="0"/>
            </w:pPr>
            <w:r>
              <w:rPr>
                <w:b w:val="0"/>
                <w:sz w:val="19"/>
              </w:rPr>
              <w:t>Finance / Contracts Lead</w:t>
            </w:r>
          </w:p>
        </w:tc>
        <w:tc>
          <w:tcPr>
            <w:tcW w:type="dxa" w:w="1324"/>
          </w:tcPr>
          <w:p>
            <w:pPr>
              <w:spacing w:after="0"/>
            </w:pPr>
            <w:r>
              <w:rPr>
                <w:b w:val="0"/>
                <w:sz w:val="19"/>
              </w:rPr>
              <w:t>Invoice file (SOP-M2, 5.8.2)</w:t>
            </w:r>
          </w:p>
        </w:tc>
        <w:tc>
          <w:tcPr>
            <w:tcW w:type="dxa" w:w="1077"/>
          </w:tcPr>
          <w:p>
            <w:pPr>
              <w:spacing w:after="0"/>
            </w:pPr>
            <w:r>
              <w:rPr>
                <w:b w:val="0"/>
                <w:sz w:val="19"/>
              </w:rPr>
              <w:t>SOP-M2, 5.8.3 and 5.9.2</w:t>
            </w:r>
          </w:p>
        </w:tc>
      </w:tr>
      <w:tr>
        <w:trPr>
          <w:cantSplit w:val="true"/>
        </w:trPr>
        <w:tc>
          <w:tcPr>
            <w:tcW w:type="dxa" w:w="2601"/>
          </w:tcPr>
          <w:p>
            <w:pPr>
              <w:spacing w:after="0"/>
            </w:pPr>
            <w:r>
              <w:rPr>
                <w:b w:val="0"/>
                <w:sz w:val="19"/>
              </w:rPr>
              <w:t>Each held research claim (SOP-M2, if adopted)</w:t>
            </w:r>
          </w:p>
        </w:tc>
        <w:tc>
          <w:tcPr>
            <w:tcW w:type="dxa" w:w="3008"/>
          </w:tcPr>
          <w:p>
            <w:pPr>
              <w:spacing w:after="0"/>
            </w:pPr>
            <w:r>
              <w:rPr>
                <w:b w:val="0"/>
                <w:sz w:val="19"/>
              </w:rPr>
              <w:t>Claim compared with the billing grid, visit documentation and participant status before release</w:t>
            </w:r>
          </w:p>
        </w:tc>
        <w:tc>
          <w:tcPr>
            <w:tcW w:type="dxa" w:w="1635"/>
          </w:tcPr>
          <w:p>
            <w:pPr>
              <w:spacing w:after="0"/>
            </w:pPr>
            <w:r>
              <w:rPr>
                <w:b w:val="0"/>
                <w:sz w:val="19"/>
              </w:rPr>
              <w:t>Finance / Contracts Lead or trained reviewer</w:t>
            </w:r>
          </w:p>
        </w:tc>
        <w:tc>
          <w:tcPr>
            <w:tcW w:type="dxa" w:w="1324"/>
          </w:tcPr>
          <w:p>
            <w:pPr>
              <w:spacing w:after="0"/>
            </w:pPr>
            <w:r>
              <w:rPr>
                <w:b w:val="0"/>
                <w:sz w:val="19"/>
                <w:highlight w:val="yellow"/>
              </w:rPr>
              <w:t>[CLAIM REVIEW LOG]</w:t>
            </w:r>
          </w:p>
        </w:tc>
        <w:tc>
          <w:tcPr>
            <w:tcW w:type="dxa" w:w="1077"/>
          </w:tcPr>
          <w:p>
            <w:pPr>
              <w:spacing w:after="0"/>
            </w:pPr>
            <w:r>
              <w:rPr>
                <w:b w:val="0"/>
                <w:sz w:val="19"/>
              </w:rPr>
              <w:t>SOP-M2, 5.9.9</w:t>
            </w:r>
          </w:p>
        </w:tc>
      </w:tr>
      <w:tr>
        <w:trPr>
          <w:cantSplit w:val="true"/>
        </w:trPr>
        <w:tc>
          <w:tcPr>
            <w:tcW w:type="dxa" w:w="2601"/>
          </w:tcPr>
          <w:p>
            <w:pPr>
              <w:spacing w:after="0"/>
            </w:pPr>
            <w:r>
              <w:rPr>
                <w:b w:val="0"/>
                <w:sz w:val="19"/>
              </w:rPr>
              <w:t>Each telehealth visit (SOP-M4, if adopted)</w:t>
            </w:r>
          </w:p>
        </w:tc>
        <w:tc>
          <w:tcPr>
            <w:tcW w:type="dxa" w:w="3008"/>
          </w:tcPr>
          <w:p>
            <w:pPr>
              <w:spacing w:after="0"/>
            </w:pPr>
            <w:r>
              <w:rPr>
                <w:b w:val="0"/>
                <w:sz w:val="19"/>
              </w:rPr>
              <w:t>Participant's location and the clinician's license in that state confirmed before the visit; identity confirmed at the start</w:t>
            </w:r>
          </w:p>
        </w:tc>
        <w:tc>
          <w:tcPr>
            <w:tcW w:type="dxa" w:w="1635"/>
          </w:tcPr>
          <w:p>
            <w:pPr>
              <w:spacing w:after="0"/>
            </w:pPr>
            <w:r>
              <w:rPr>
                <w:b w:val="0"/>
                <w:sz w:val="19"/>
              </w:rPr>
              <w:t>CRC; person conducting the visit</w:t>
            </w:r>
          </w:p>
        </w:tc>
        <w:tc>
          <w:tcPr>
            <w:tcW w:type="dxa" w:w="1324"/>
          </w:tcPr>
          <w:p>
            <w:pPr>
              <w:spacing w:after="0"/>
            </w:pPr>
            <w:r>
              <w:rPr>
                <w:b w:val="0"/>
                <w:sz w:val="19"/>
              </w:rPr>
              <w:t>F-313-01</w:t>
            </w:r>
          </w:p>
        </w:tc>
        <w:tc>
          <w:tcPr>
            <w:tcW w:type="dxa" w:w="1077"/>
          </w:tcPr>
          <w:p>
            <w:pPr>
              <w:spacing w:after="0"/>
            </w:pPr>
            <w:r>
              <w:rPr>
                <w:b w:val="0"/>
                <w:sz w:val="19"/>
              </w:rPr>
              <w:t>SOP-M4, 5.3.1 and 5.4.5</w:t>
            </w:r>
          </w:p>
        </w:tc>
      </w:tr>
      <w:tr>
        <w:trPr>
          <w:cantSplit w:val="true"/>
        </w:trPr>
        <w:tc>
          <w:tcPr>
            <w:tcW w:type="dxa" w:w="2601"/>
          </w:tcPr>
          <w:p>
            <w:pPr>
              <w:spacing w:after="0"/>
            </w:pPr>
            <w:r>
              <w:rPr>
                <w:b w:val="0"/>
                <w:sz w:val="19"/>
              </w:rPr>
              <w:t>Each direct-to-participant shipment (SOP-M4, if adopted)</w:t>
            </w:r>
          </w:p>
        </w:tc>
        <w:tc>
          <w:tcPr>
            <w:tcW w:type="dxa" w:w="3008"/>
          </w:tcPr>
          <w:p>
            <w:pPr>
              <w:spacing w:after="0"/>
            </w:pPr>
            <w:r>
              <w:rPr>
                <w:b w:val="0"/>
                <w:sz w:val="19"/>
              </w:rPr>
              <w:t>Investigator confirms the participant may receive the IP; IP Manager checks the shipment against the prescription or IRT assignment</w:t>
            </w:r>
          </w:p>
        </w:tc>
        <w:tc>
          <w:tcPr>
            <w:tcW w:type="dxa" w:w="1635"/>
          </w:tcPr>
          <w:p>
            <w:pPr>
              <w:spacing w:after="0"/>
            </w:pPr>
            <w:r>
              <w:rPr>
                <w:b w:val="0"/>
                <w:sz w:val="19"/>
              </w:rPr>
              <w:t>Investigator; IP Manager</w:t>
            </w:r>
          </w:p>
        </w:tc>
        <w:tc>
          <w:tcPr>
            <w:tcW w:type="dxa" w:w="1324"/>
          </w:tcPr>
          <w:p>
            <w:pPr>
              <w:spacing w:after="0"/>
            </w:pPr>
            <w:r>
              <w:rPr>
                <w:b w:val="0"/>
                <w:sz w:val="19"/>
              </w:rPr>
              <w:t>Source; shipment request</w:t>
            </w:r>
          </w:p>
        </w:tc>
        <w:tc>
          <w:tcPr>
            <w:tcW w:type="dxa" w:w="1077"/>
          </w:tcPr>
          <w:p>
            <w:pPr>
              <w:spacing w:after="0"/>
            </w:pPr>
            <w:r>
              <w:rPr>
                <w:b w:val="0"/>
                <w:sz w:val="19"/>
              </w:rPr>
              <w:t>SOP-M4, 5.6.2</w:t>
            </w:r>
          </w:p>
        </w:tc>
      </w:tr>
      <w:tr>
        <w:trPr>
          <w:cantSplit w:val="true"/>
        </w:trPr>
        <w:tc>
          <w:tcPr>
            <w:tcW w:type="dxa" w:w="2601"/>
          </w:tcPr>
          <w:p>
            <w:pPr>
              <w:spacing w:after="0"/>
            </w:pPr>
            <w:r>
              <w:rPr>
                <w:b w:val="0"/>
                <w:sz w:val="19"/>
              </w:rPr>
              <w:t xml:space="preserve">While a participant uses an ePRO device or wearable: protocol frequency, or </w:t>
            </w:r>
            <w:r>
              <w:rPr>
                <w:b w:val="0"/>
                <w:sz w:val="19"/>
                <w:highlight w:val="green"/>
              </w:rPr>
              <w:t>[DEFAULT: at least weekly]</w:t>
            </w:r>
          </w:p>
        </w:tc>
        <w:tc>
          <w:tcPr>
            <w:tcW w:type="dxa" w:w="3008"/>
          </w:tcPr>
          <w:p>
            <w:pPr>
              <w:spacing w:after="0"/>
            </w:pPr>
            <w:r>
              <w:rPr>
                <w:b w:val="0"/>
                <w:sz w:val="19"/>
              </w:rPr>
              <w:t>ePRO and device compliance reports and alerts</w:t>
            </w:r>
          </w:p>
        </w:tc>
        <w:tc>
          <w:tcPr>
            <w:tcW w:type="dxa" w:w="1635"/>
          </w:tcPr>
          <w:p>
            <w:pPr>
              <w:spacing w:after="0"/>
            </w:pPr>
            <w:r>
              <w:rPr>
                <w:b w:val="0"/>
                <w:sz w:val="19"/>
              </w:rPr>
              <w:t>Person named on the PI oversight note</w:t>
            </w:r>
          </w:p>
        </w:tc>
        <w:tc>
          <w:tcPr>
            <w:tcW w:type="dxa" w:w="1324"/>
          </w:tcPr>
          <w:p>
            <w:pPr>
              <w:spacing w:after="0"/>
            </w:pPr>
            <w:r>
              <w:rPr>
                <w:b w:val="0"/>
                <w:sz w:val="19"/>
              </w:rPr>
              <w:t>Dated review in source</w:t>
            </w:r>
          </w:p>
        </w:tc>
        <w:tc>
          <w:tcPr>
            <w:tcW w:type="dxa" w:w="1077"/>
          </w:tcPr>
          <w:p>
            <w:pPr>
              <w:spacing w:after="0"/>
            </w:pPr>
            <w:r>
              <w:rPr>
                <w:b w:val="0"/>
                <w:sz w:val="19"/>
              </w:rPr>
              <w:t>SOP-07, 5.4.5</w:t>
            </w:r>
          </w:p>
        </w:tc>
      </w:tr>
    </w:tbl>
    <w:p>
      <w:pPr>
        <w:spacing w:after="40"/>
      </w:pPr>
    </w:p>
    <w:p>
      <w:pPr>
        <w:tabs>
          <w:tab w:pos="648" w:val="left"/>
        </w:tabs>
        <w:ind w:left="648" w:hanging="648"/>
      </w:pPr>
      <w:r>
        <w:rPr>
          <w:b/>
        </w:rPr>
        <w:t>5.1.2</w:t>
        <w:tab/>
      </w:r>
      <w:r>
        <w:rPr>
          <w:b w:val="0"/>
        </w:rPr>
        <w:t>A site that adds a recurring check, site-wide or in one SOP, adds it to this section first, through a revision of this SOP under SOP-01, and then to the home SOP. A sponsor or IRB requirement for an extra check applies to that study only and is recorded in its study QC plan. Where a home SOP and this section differ, the Quality Lead opens a revision under SOP-01 and the more frequent check applies until it is approved.</w:t>
      </w:r>
    </w:p>
    <w:p>
      <w:pPr>
        <w:pStyle w:val="Heading2"/>
      </w:pPr>
      <w:r>
        <w:t>5.2 Study QC plan</w:t>
      </w:r>
    </w:p>
    <w:p>
      <w:pPr>
        <w:tabs>
          <w:tab w:pos="648" w:val="left"/>
        </w:tabs>
        <w:ind w:left="648" w:hanging="648"/>
      </w:pPr>
      <w:r>
        <w:rPr>
          <w:b/>
        </w:rPr>
        <w:t>5.2.1</w:t>
        <w:tab/>
      </w:r>
      <w:r>
        <w:rPr>
          <w:b w:val="0"/>
        </w:rPr>
        <w:t>Before the first participant is consented in a study, the Quality Lead and Lead CRC record the study QC plan on the QC plan page of F-700-01 and file it in the quality file with a copy in the ISF. The plan names:</w:t>
      </w:r>
    </w:p>
    <w:p>
      <w:pPr>
        <w:pStyle w:val="ListBullet"/>
        <w:spacing w:after="40"/>
        <w:ind w:left="1008" w:hanging="259"/>
      </w:pPr>
      <w:r>
        <w:rPr>
          <w:b w:val="0"/>
        </w:rPr>
        <w:t>the consent reviewers for the study (section 5.4)</w:t>
      </w:r>
    </w:p>
    <w:p>
      <w:pPr>
        <w:pStyle w:val="ListBullet"/>
        <w:spacing w:after="40"/>
        <w:ind w:left="1008" w:hanging="259"/>
      </w:pPr>
      <w:r>
        <w:rPr>
          <w:b w:val="0"/>
        </w:rPr>
        <w:t>the investigators who sign eligibility on F-303-02 (SOP-05)</w:t>
      </w:r>
    </w:p>
    <w:p>
      <w:pPr>
        <w:pStyle w:val="ListBullet"/>
        <w:spacing w:after="40"/>
        <w:ind w:left="1008" w:hanging="259"/>
      </w:pPr>
      <w:r>
        <w:rPr>
          <w:b w:val="0"/>
        </w:rPr>
        <w:t>for blinded studies, who performs QC of unblinded records (section 5.4.4)</w:t>
      </w:r>
    </w:p>
    <w:p>
      <w:pPr>
        <w:pStyle w:val="ListBullet"/>
        <w:spacing w:after="40"/>
        <w:ind w:left="1008" w:hanging="259"/>
      </w:pPr>
      <w:r>
        <w:rPr>
          <w:b w:val="0"/>
        </w:rPr>
        <w:t>any sponsor-required or risk-based added QC under 5.2.2, with its reason and end point</w:t>
      </w:r>
    </w:p>
    <w:p>
      <w:pPr>
        <w:tabs>
          <w:tab w:pos="648" w:val="left"/>
        </w:tabs>
        <w:ind w:left="648" w:hanging="648"/>
      </w:pPr>
      <w:r>
        <w:rPr>
          <w:b/>
        </w:rPr>
        <w:t>5.2.2</w:t>
        <w:tab/>
      </w:r>
      <w:r>
        <w:rPr>
          <w:b w:val="0"/>
        </w:rPr>
        <w:t>For a higher-risk study (for example first-in-human, complex dosing, device implantation, a new therapeutic area or new staff), the Quality Lead may add a defined, time-limited check, such as source-to-CRF review of the first participant's primary endpoint visits, and records the reason and end point on F-700-01. An added check ends at its stated end point.</w:t>
      </w:r>
    </w:p>
    <w:p>
      <w:pPr>
        <w:tabs>
          <w:tab w:pos="648" w:val="left"/>
        </w:tabs>
        <w:ind w:left="648" w:hanging="648"/>
      </w:pPr>
      <w:r>
        <w:rPr>
          <w:b/>
        </w:rPr>
        <w:t>5.2.3</w:t>
        <w:tab/>
      </w:r>
      <w:r>
        <w:rPr>
          <w:b w:val="0"/>
        </w:rPr>
        <w:t>Eligibility, IP and temperature, source and EDC, ISF and IRB status, and delegation records are checked through the investigator eligibility sign-off (SOP-05), the quarterly quality review (5.6), the closeout QC review (SOP-15), the annual internal audit (5.7) and any added check under 5.2.2. Where another SOP says an area is checked "in QC (SOP-14)", these are the checks meant. Apart from these QC checks and the readiness checks in 5.1 Part B, the site runs no other routine sampling.</w:t>
      </w:r>
    </w:p>
    <w:p>
      <w:pPr>
        <w:pStyle w:val="Heading2"/>
      </w:pPr>
      <w:r>
        <w:t>5.3 Consent QC sampling</w:t>
      </w:r>
    </w:p>
    <w:p>
      <w:pPr>
        <w:tabs>
          <w:tab w:pos="648" w:val="left"/>
        </w:tabs>
        <w:ind w:left="648" w:hanging="648"/>
      </w:pPr>
      <w:r>
        <w:rPr>
          <w:b/>
        </w:rPr>
        <w:t>5.3.1</w:t>
        <w:tab/>
      </w:r>
      <w:r>
        <w:rPr>
          <w:b w:val="0"/>
        </w:rPr>
        <w:t xml:space="preserve">A trained reviewer checks the signed consent against F-301-01, F-301-02 and the SOP-04 checklist within </w:t>
      </w:r>
      <w:r>
        <w:rPr>
          <w:b w:val="0"/>
          <w:highlight w:val="green"/>
        </w:rPr>
        <w:t>[DEFAULT: 1 business day]</w:t>
      </w:r>
      <w:r>
        <w:rPr>
          <w:b w:val="0"/>
        </w:rPr>
        <w:t xml:space="preserve"> of signature, and before randomization or first dose where that comes first, for:</w:t>
      </w:r>
    </w:p>
    <w:p>
      <w:pPr>
        <w:pStyle w:val="ListBullet"/>
        <w:spacing w:after="40"/>
        <w:ind w:left="1008" w:hanging="259"/>
      </w:pPr>
      <w:r>
        <w:rPr>
          <w:b w:val="0"/>
        </w:rPr>
        <w:t>the first 3 consents by each consenter in each study (which covers the study's first consents)</w:t>
      </w:r>
    </w:p>
    <w:p>
      <w:pPr>
        <w:pStyle w:val="ListBullet"/>
        <w:spacing w:after="40"/>
        <w:ind w:left="1008" w:hanging="259"/>
      </w:pPr>
      <w:r>
        <w:rPr>
          <w:b w:val="0"/>
        </w:rPr>
        <w:t>the first 3 re-consents of each re-consent wave</w:t>
      </w:r>
    </w:p>
    <w:p>
      <w:pPr>
        <w:tabs>
          <w:tab w:pos="648" w:val="left"/>
        </w:tabs>
        <w:ind w:left="648" w:hanging="648"/>
      </w:pPr>
      <w:r>
        <w:rPr>
          <w:b/>
        </w:rPr>
        <w:t>5.3.2</w:t>
        <w:tab/>
      </w:r>
      <w:r>
        <w:rPr>
          <w:b w:val="0"/>
        </w:rPr>
        <w:t>After those, the reviewer checks 1 in 5 consents per study, selected as every fifth consent in signature order on F-303-01, within 1 business day of signature.</w:t>
      </w:r>
    </w:p>
    <w:p>
      <w:pPr>
        <w:tabs>
          <w:tab w:pos="648" w:val="left"/>
        </w:tabs>
        <w:ind w:left="648" w:hanging="648"/>
      </w:pPr>
      <w:r>
        <w:rPr>
          <w:b/>
        </w:rPr>
        <w:t>5.3.3</w:t>
        <w:tab/>
      </w:r>
      <w:r>
        <w:rPr>
          <w:b w:val="0"/>
        </w:rPr>
        <w:t>Any consent error found by QC, a monitor or an audit returns that consenter, in that study, to 100% QC for their next 3 consents, then back to 1 in 5. The Quality Lead records on F-700-01 who is at 100%, the trigger and the end date.</w:t>
      </w:r>
    </w:p>
    <w:p>
      <w:pPr>
        <w:tabs>
          <w:tab w:pos="648" w:val="left"/>
        </w:tabs>
        <w:ind w:left="648" w:hanging="648"/>
      </w:pPr>
      <w:r>
        <w:rPr>
          <w:b/>
        </w:rPr>
        <w:t>5.3.4</w:t>
        <w:tab/>
      </w:r>
      <w:r>
        <w:rPr>
          <w:b w:val="0"/>
        </w:rPr>
        <w:t>The reviewer records the review on F-301-01. A consent error of any grade goes to the PI the same day and is handled under SOP-04 and SOP-08.</w:t>
      </w:r>
    </w:p>
    <w:p>
      <w:pPr>
        <w:pStyle w:val="Heading2"/>
      </w:pPr>
      <w:r>
        <w:t>5.4 Who performs QC</w:t>
      </w:r>
    </w:p>
    <w:p>
      <w:pPr>
        <w:tabs>
          <w:tab w:pos="648" w:val="left"/>
        </w:tabs>
        <w:ind w:left="648" w:hanging="648"/>
      </w:pPr>
      <w:r>
        <w:rPr>
          <w:b/>
        </w:rPr>
        <w:t>5.4.1</w:t>
        <w:tab/>
      </w:r>
      <w:r>
        <w:rPr>
          <w:b w:val="0"/>
        </w:rPr>
        <w:t>QC is never self-review. The person who obtained a consent or completed a record does not QC it. Staff cross-check each other (for example CRC A reviews CRC B's consents and the reverse).</w:t>
      </w:r>
    </w:p>
    <w:p>
      <w:pPr>
        <w:tabs>
          <w:tab w:pos="648" w:val="left"/>
        </w:tabs>
        <w:ind w:left="648" w:hanging="648"/>
      </w:pPr>
      <w:r>
        <w:rPr>
          <w:b/>
        </w:rPr>
        <w:t>5.4.2</w:t>
        <w:tab/>
      </w:r>
      <w:r>
        <w:rPr>
          <w:b w:val="0"/>
        </w:rPr>
        <w:t xml:space="preserve">Where only one person is delegated a task in a study, or the work is the Quality Lead's own, the Quality Lead or, if the Quality Lead did the work, the independent reviewer named in SOP-02 performs the QC. For consent QC, where no reviewer is available within 1 business day, the person who obtained the consent repeats the SOP-04, 5.3.4 check the next business day (before randomization or first dose for a consent under 5.3.1) and records it on F-301-01 as a self-check, and the independent reviewer reviews those consents within </w:t>
      </w:r>
      <w:r>
        <w:rPr>
          <w:b w:val="0"/>
          <w:highlight w:val="green"/>
        </w:rPr>
        <w:t>[DEFAULT: 10 business days]</w:t>
      </w:r>
      <w:r>
        <w:rPr>
          <w:b w:val="0"/>
        </w:rPr>
        <w:t>.</w:t>
      </w:r>
    </w:p>
    <w:p>
      <w:pPr>
        <w:tabs>
          <w:tab w:pos="648" w:val="left"/>
        </w:tabs>
        <w:ind w:left="648" w:hanging="648"/>
      </w:pPr>
      <w:r>
        <w:rPr>
          <w:b/>
        </w:rPr>
        <w:t>5.4.3</w:t>
        <w:tab/>
      </w:r>
      <w:r>
        <w:rPr>
          <w:b w:val="0"/>
        </w:rPr>
        <w:t>QC of a medical judgment (eligibility interpretation, AE causality, clinical significance) checks only that a delegated investigator made and documented it. A reviewer who is not an investigator does not override it; questions go to the PI.</w:t>
      </w:r>
    </w:p>
    <w:p>
      <w:pPr>
        <w:tabs>
          <w:tab w:pos="648" w:val="left"/>
        </w:tabs>
        <w:ind w:left="648" w:hanging="648"/>
      </w:pPr>
      <w:r>
        <w:rPr>
          <w:b/>
        </w:rPr>
        <w:t>5.4.4</w:t>
        <w:tab/>
      </w:r>
      <w:r>
        <w:rPr>
          <w:b w:val="0"/>
        </w:rPr>
        <w:t>In blinded studies, QC of unblinded records (unblinded IP preparation, dispensing, accountability and randomization records) is done, in this order: by the sponsor's unblinded monitor, with the monitor's reconciliation recorded on F-700-01 as the QC; otherwise by an unblinded staff member not involved in the dispensing being checked; otherwise by an external reviewer. Findings that would reveal assignment go only to unblinded staff and the sponsor's unblinded monitor (SOP-05).</w:t>
      </w:r>
    </w:p>
    <w:p>
      <w:pPr>
        <w:tabs>
          <w:tab w:pos="648" w:val="left"/>
        </w:tabs>
        <w:ind w:left="648" w:hanging="648"/>
      </w:pPr>
      <w:r>
        <w:rPr>
          <w:b/>
        </w:rPr>
        <w:t>5.4.5</w:t>
        <w:tab/>
      </w:r>
      <w:r>
        <w:rPr>
          <w:b w:val="0"/>
        </w:rPr>
        <w:t>Reviewers are trained on this SOP and the protocol, recorded on F-103-01. For consent QC by the independent reviewer, training on the SOP-04 checklist and the study's F-301-02 page is enough.</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who performs QC and the internal audit at </w:t>
            </w:r>
            <w:r>
              <w:rPr>
                <w:b w:val="0"/>
                <w:sz w:val="20"/>
                <w:highlight w:val="yellow"/>
              </w:rPr>
              <w:t>[SITE NAME]</w:t>
            </w:r>
            <w:r>
              <w:rPr>
                <w:b w:val="0"/>
                <w:sz w:val="20"/>
              </w:rPr>
              <w:t xml:space="preserve">: internal reviewers only, the independent reviewer named in SOP-02, an external QC or audit service (qualified under SOP-M1 if adopted), or a mix, and the budget line for any external cost: </w:t>
            </w:r>
            <w:r>
              <w:rPr>
                <w:b w:val="0"/>
                <w:sz w:val="20"/>
                <w:highlight w:val="yellow"/>
              </w:rPr>
              <w:t>[QC AND AUDIT PROVIDERS]</w:t>
            </w:r>
            <w:r>
              <w:rPr>
                <w:b w:val="0"/>
                <w:sz w:val="20"/>
              </w:rPr>
              <w:t>.</w:t>
            </w:r>
          </w:p>
        </w:tc>
      </w:tr>
    </w:tbl>
    <w:p>
      <w:pPr>
        <w:spacing w:after="0"/>
      </w:pPr>
    </w:p>
    <w:p>
      <w:pPr>
        <w:pStyle w:val="Heading2"/>
      </w:pPr>
      <w:r>
        <w:t>5.5 Recording and escalating findings</w:t>
      </w:r>
    </w:p>
    <w:p>
      <w:pPr>
        <w:tabs>
          <w:tab w:pos="648" w:val="left"/>
        </w:tabs>
        <w:ind w:left="648" w:hanging="648"/>
      </w:pPr>
      <w:r>
        <w:rPr>
          <w:b/>
        </w:rPr>
        <w:t>5.5.1</w:t>
        <w:tab/>
      </w:r>
      <w:r>
        <w:rPr>
          <w:b w:val="0"/>
        </w:rPr>
        <w:t>The reviewer records on F-700-01 the participant ID, record reviewed, date, items checked, and each finding with its grade.</w:t>
      </w:r>
    </w:p>
    <w:p>
      <w:pPr>
        <w:tabs>
          <w:tab w:pos="648" w:val="left"/>
        </w:tabs>
        <w:ind w:left="648" w:hanging="648"/>
      </w:pPr>
      <w:r>
        <w:rPr>
          <w:b/>
        </w:rPr>
        <w:t>5.5.2</w:t>
        <w:tab/>
      </w:r>
      <w:r>
        <w:rPr>
          <w:b w:val="0"/>
        </w:rPr>
        <w:t>The reviewer does not correct another person's records. The record owner corrects under SOP-07 with the current date and reason, notes the correction on F-700-01, and the reviewer closes the finding.</w:t>
      </w:r>
    </w:p>
    <w:p>
      <w:pPr>
        <w:tabs>
          <w:tab w:pos="648" w:val="left"/>
        </w:tabs>
        <w:ind w:left="648" w:hanging="648"/>
      </w:pPr>
      <w:r>
        <w:rPr>
          <w:b/>
        </w:rPr>
        <w:t>5.5.3</w:t>
        <w:tab/>
      </w:r>
      <w:r>
        <w:rPr>
          <w:b w:val="0"/>
        </w:rPr>
        <w:t>Escalation:</w:t>
      </w:r>
    </w:p>
    <w:p>
      <w:pPr>
        <w:pStyle w:val="ListBullet"/>
        <w:spacing w:after="40"/>
        <w:ind w:left="1008" w:hanging="259"/>
      </w:pPr>
      <w:r>
        <w:rPr>
          <w:b/>
        </w:rPr>
        <w:t>Critical:</w:t>
      </w:r>
      <w:r>
        <w:rPr>
          <w:b w:val="0"/>
        </w:rPr>
        <w:t xml:space="preserve"> the reviewer tells the PI and Quality Lead the same day; the PI assesses participant safety first; the Quality Lead opens a CAPA under SOP-08.</w:t>
      </w:r>
    </w:p>
    <w:p>
      <w:pPr>
        <w:pStyle w:val="ListBullet"/>
        <w:spacing w:after="40"/>
        <w:ind w:left="1008" w:hanging="259"/>
      </w:pPr>
      <w:r>
        <w:rPr>
          <w:b/>
        </w:rPr>
        <w:t>Major:</w:t>
      </w:r>
      <w:r>
        <w:rPr>
          <w:b w:val="0"/>
        </w:rPr>
        <w:t xml:space="preserve"> reported to the PI and Quality Lead within </w:t>
      </w:r>
      <w:r>
        <w:rPr>
          <w:b w:val="0"/>
          <w:highlight w:val="green"/>
        </w:rPr>
        <w:t>[DEFAULT: 2 business days]</w:t>
      </w:r>
      <w:r>
        <w:rPr>
          <w:b w:val="0"/>
        </w:rPr>
        <w:t>; CAPA under the SOP-08 triggers.</w:t>
      </w:r>
    </w:p>
    <w:p>
      <w:pPr>
        <w:pStyle w:val="ListBullet"/>
        <w:spacing w:after="40"/>
        <w:ind w:left="1008" w:hanging="259"/>
      </w:pPr>
      <w:r>
        <w:rPr>
          <w:b/>
        </w:rPr>
        <w:t>Minor:</w:t>
      </w:r>
      <w:r>
        <w:rPr>
          <w:b w:val="0"/>
        </w:rPr>
        <w:t xml:space="preserve"> corrected and counted at the quarterly review; CAPA only if an SOP-08 trigger is met.</w:t>
      </w:r>
    </w:p>
    <w:p>
      <w:pPr>
        <w:pStyle w:val="ListBullet"/>
        <w:spacing w:after="40"/>
        <w:ind w:left="1008" w:hanging="259"/>
      </w:pPr>
      <w:r>
        <w:rPr>
          <w:b/>
        </w:rPr>
        <w:t>Any grade</w:t>
      </w:r>
      <w:r>
        <w:rPr>
          <w:b w:val="0"/>
        </w:rPr>
        <w:t xml:space="preserve"> that is a protocol deviation is also recorded on F-308-01 and classified under SOP-08.</w:t>
      </w:r>
    </w:p>
    <w:p>
      <w:pPr>
        <w:tabs>
          <w:tab w:pos="648" w:val="left"/>
        </w:tabs>
        <w:ind w:left="648" w:hanging="648"/>
      </w:pPr>
      <w:r>
        <w:rPr>
          <w:b/>
        </w:rPr>
        <w:t>5.5.4</w:t>
        <w:tab/>
      </w:r>
      <w:r>
        <w:rPr>
          <w:b w:val="0"/>
        </w:rPr>
        <w:t>A finding that may indicate fabrication or falsification is not discussed with the person involved. The reviewer reports it to the Quality Lead or Site Director, or to the independent reviewer if either may be involved (SOP-M5 if adopted, otherwise SOP-08, 5.6.5).</w:t>
      </w:r>
    </w:p>
    <w:p>
      <w:pPr>
        <w:pStyle w:val="Heading2"/>
      </w:pPr>
      <w:r>
        <w:t>5.6 Quarterly quality review</w:t>
      </w:r>
    </w:p>
    <w:p>
      <w:pPr>
        <w:tabs>
          <w:tab w:pos="648" w:val="left"/>
        </w:tabs>
        <w:ind w:left="648" w:hanging="648"/>
      </w:pPr>
      <w:r>
        <w:rPr>
          <w:b/>
        </w:rPr>
        <w:t>5.6.1</w:t>
        <w:tab/>
      </w:r>
      <w:r>
        <w:rPr>
          <w:b w:val="0"/>
        </w:rPr>
        <w:t xml:space="preserve">Within </w:t>
      </w:r>
      <w:r>
        <w:rPr>
          <w:b w:val="0"/>
          <w:highlight w:val="green"/>
        </w:rPr>
        <w:t>[DEFAULT: 15 business days]</w:t>
      </w:r>
      <w:r>
        <w:rPr>
          <w:b w:val="0"/>
        </w:rPr>
        <w:t xml:space="preserve"> after each calendar quarter, the Quality Lead compiles the quarterly review from the logs below and records results on a dated quarterly review record in the quality file:</w:t>
      </w:r>
    </w:p>
    <w:p>
      <w:pPr>
        <w:pStyle w:val="ListBullet"/>
        <w:spacing w:after="40"/>
        <w:ind w:left="1008" w:hanging="259"/>
      </w:pPr>
      <w:r>
        <w:rPr>
          <w:b w:val="0"/>
        </w:rPr>
        <w:t>deviations: count per enrolled participant, by category and study (F-308-01)</w:t>
      </w:r>
    </w:p>
    <w:p>
      <w:pPr>
        <w:pStyle w:val="ListBullet"/>
        <w:spacing w:after="40"/>
        <w:ind w:left="1008" w:hanging="259"/>
      </w:pPr>
      <w:r>
        <w:rPr>
          <w:b w:val="0"/>
        </w:rPr>
        <w:t>AE and SAE timeliness: SAEs sent late against the protocol timeline, and open IRB-reportable items and their age (F-501-01, F-502-01)</w:t>
      </w:r>
    </w:p>
    <w:p>
      <w:pPr>
        <w:pStyle w:val="ListBullet"/>
        <w:spacing w:after="40"/>
        <w:ind w:left="1008" w:hanging="259"/>
      </w:pPr>
      <w:r>
        <w:rPr>
          <w:b w:val="0"/>
        </w:rPr>
        <w:t>consent QC: errors as a percentage of consents reviewed, and consenters at 100% (F-301-01, F-700-01)</w:t>
      </w:r>
    </w:p>
    <w:p>
      <w:pPr>
        <w:pStyle w:val="ListBullet"/>
        <w:spacing w:after="40"/>
        <w:ind w:left="1008" w:hanging="259"/>
      </w:pPr>
      <w:r>
        <w:rPr>
          <w:b w:val="0"/>
        </w:rPr>
        <w:t>CAPA: open, overdue and failed effectiveness checks, and repeated root causes (F-703-02)</w:t>
      </w:r>
    </w:p>
    <w:p>
      <w:pPr>
        <w:pStyle w:val="ListBullet"/>
        <w:spacing w:after="40"/>
        <w:ind w:left="1008" w:hanging="259"/>
      </w:pPr>
      <w:r>
        <w:rPr>
          <w:b w:val="0"/>
        </w:rPr>
        <w:t>training: completion against requirement (F-103-01)</w:t>
      </w:r>
    </w:p>
    <w:p>
      <w:pPr>
        <w:pStyle w:val="ListBullet"/>
        <w:spacing w:after="40"/>
        <w:ind w:left="1008" w:hanging="259"/>
      </w:pPr>
      <w:r>
        <w:rPr>
          <w:b w:val="0"/>
        </w:rPr>
        <w:t>temperature: excursions and missed readings (F-304-02, F-304-03)</w:t>
      </w:r>
    </w:p>
    <w:p>
      <w:pPr>
        <w:pStyle w:val="ListBullet"/>
        <w:spacing w:after="40"/>
        <w:ind w:left="1008" w:hanging="259"/>
      </w:pPr>
      <w:r>
        <w:rPr>
          <w:b w:val="0"/>
        </w:rPr>
        <w:t xml:space="preserve">open monitoring actions older than </w:t>
      </w:r>
      <w:r>
        <w:rPr>
          <w:b w:val="0"/>
          <w:highlight w:val="green"/>
        </w:rPr>
        <w:t>[DEFAULT: 30 calendar days]</w:t>
      </w:r>
      <w:r>
        <w:rPr>
          <w:b w:val="0"/>
        </w:rPr>
        <w:t xml:space="preserve"> (F-600-02)</w:t>
      </w:r>
    </w:p>
    <w:p>
      <w:pPr>
        <w:pStyle w:val="ListBullet"/>
        <w:spacing w:after="40"/>
        <w:ind w:left="1008" w:hanging="259"/>
      </w:pPr>
      <w:r>
        <w:rPr>
          <w:b w:val="0"/>
        </w:rPr>
        <w:t>privacy incidents and complaints by type and cause (F-400-01)</w:t>
      </w:r>
    </w:p>
    <w:p>
      <w:pPr>
        <w:pStyle w:val="ListBullet"/>
        <w:spacing w:after="40"/>
        <w:ind w:left="1008" w:hanging="259"/>
      </w:pPr>
      <w:r>
        <w:rPr>
          <w:b w:val="0"/>
        </w:rPr>
        <w:t>independent-reviewer turnarounds missed (F-306-01, SOP-02, 5.2.3)</w:t>
      </w:r>
    </w:p>
    <w:p>
      <w:pPr>
        <w:pStyle w:val="ListBullet"/>
        <w:spacing w:after="40"/>
        <w:ind w:left="1008" w:hanging="259"/>
      </w:pPr>
      <w:r>
        <w:rPr>
          <w:b w:val="0"/>
        </w:rPr>
        <w:t>sponsor deadline calendar for sponsor-investigator studies (SOP-M6, if adopted)</w:t>
      </w:r>
    </w:p>
    <w:p>
      <w:pPr>
        <w:tabs>
          <w:tab w:pos="648" w:val="left"/>
        </w:tabs>
        <w:ind w:left="648" w:hanging="648"/>
      </w:pPr>
      <w:r>
        <w:rPr>
          <w:b/>
        </w:rPr>
        <w:t>5.6.2</w:t>
        <w:tab/>
      </w:r>
      <w:r>
        <w:rPr>
          <w:b w:val="0"/>
        </w:rPr>
        <w:t>The Quality Lead looks for repeated findings across studies, staff or locations and opens a CAPA where an SOP-08 trigger is met.</w:t>
      </w:r>
    </w:p>
    <w:p>
      <w:pPr>
        <w:tabs>
          <w:tab w:pos="648" w:val="left"/>
        </w:tabs>
        <w:ind w:left="648" w:hanging="648"/>
      </w:pPr>
      <w:r>
        <w:rPr>
          <w:b/>
        </w:rPr>
        <w:t>5.6.3</w:t>
        <w:tab/>
      </w:r>
      <w:r>
        <w:rPr>
          <w:b w:val="0"/>
        </w:rPr>
        <w:t>Each PI reviews and signs the page for their studies and refers to it in the quarterly oversight note (SOP-02).</w:t>
      </w:r>
    </w:p>
    <w:p>
      <w:pPr>
        <w:tabs>
          <w:tab w:pos="648" w:val="left"/>
        </w:tabs>
        <w:ind w:left="648" w:hanging="648"/>
      </w:pPr>
      <w:r>
        <w:rPr>
          <w:b/>
        </w:rPr>
        <w:t>5.6.4</w:t>
        <w:tab/>
      </w:r>
      <w:r>
        <w:rPr>
          <w:b w:val="0"/>
        </w:rPr>
        <w:t>The Quality Lead sends the summary to the Site Director and PIs and shares it with all research staff, without personal blame, at a staff meeting.</w:t>
      </w:r>
    </w:p>
    <w:p>
      <w:pPr>
        <w:pStyle w:val="Heading2"/>
      </w:pPr>
      <w:r>
        <w:t>5.7 Annual internal audit</w:t>
      </w:r>
    </w:p>
    <w:p>
      <w:pPr>
        <w:tabs>
          <w:tab w:pos="648" w:val="left"/>
        </w:tabs>
        <w:ind w:left="648" w:hanging="648"/>
      </w:pPr>
      <w:r>
        <w:rPr>
          <w:b/>
        </w:rPr>
        <w:t>5.7.1</w:t>
        <w:tab/>
      </w:r>
      <w:r>
        <w:rPr>
          <w:b w:val="0"/>
        </w:rPr>
        <w:t xml:space="preserve">By </w:t>
      </w:r>
      <w:r>
        <w:rPr>
          <w:b w:val="0"/>
          <w:highlight w:val="yellow"/>
        </w:rPr>
        <w:t>[MONTH]</w:t>
      </w:r>
      <w:r>
        <w:rPr>
          <w:b w:val="0"/>
        </w:rPr>
        <w:t xml:space="preserve"> each year, the Quality Lead prepares the audit plan on Part 1 of F-700-02 and the Site Director approves it (or the independent reviewer, where the Site Director is also the Quality Lead).</w:t>
      </w:r>
    </w:p>
    <w:p>
      <w:pPr>
        <w:tabs>
          <w:tab w:pos="648" w:val="left"/>
        </w:tabs>
        <w:ind w:left="648" w:hanging="648"/>
      </w:pPr>
      <w:r>
        <w:rPr>
          <w:b/>
        </w:rPr>
        <w:t>5.7.2</w:t>
        <w:tab/>
      </w:r>
      <w:r>
        <w:rPr>
          <w:b w:val="0"/>
        </w:rPr>
        <w:t>The site holds one internal audit per year, alternating a study audit and a process audit. The Quality Lead selects by risk: new study types or therapeutic areas, high enrollment or complexity, vulnerable populations, findings from the prior year, open CAPAs needing an effectiveness check, new staff, systems or providers. Process audits rotate through training files, delegation, IP storage and accountability, equipment and lab records, system access, records retention, providers and SOP compliance. In any year the site billed insurance for study items, the audit also covers the research-claims sample in SOP-M2, 5.9.12 (if adopted).</w:t>
      </w:r>
    </w:p>
    <w:p>
      <w:pPr>
        <w:tabs>
          <w:tab w:pos="648" w:val="left"/>
        </w:tabs>
        <w:ind w:left="648" w:hanging="648"/>
      </w:pPr>
      <w:r>
        <w:rPr>
          <w:b/>
        </w:rPr>
        <w:t>5.7.3</w:t>
        <w:tab/>
      </w:r>
      <w:r>
        <w:rPr>
          <w:b w:val="0"/>
        </w:rPr>
        <w:t>The audit is done by the independent reviewer named in SOP-02 or an external auditor engaged under SOP-M1 (if adopted). Its expected cost is captured at feasibility (SOP-M2, if adopted) or in the annual budget. Where SOP-02 requires it (an owner who is a PI), the audit includes the clinician review of that owner's decisions that SOP-02 specifies.</w:t>
      </w:r>
    </w:p>
    <w:p>
      <w:pPr>
        <w:tabs>
          <w:tab w:pos="648" w:val="left"/>
        </w:tabs>
        <w:ind w:left="648" w:hanging="648"/>
      </w:pPr>
      <w:r>
        <w:rPr>
          <w:b/>
        </w:rPr>
        <w:t>5.7.4</w:t>
        <w:tab/>
      </w:r>
      <w:r>
        <w:rPr>
          <w:b w:val="0"/>
        </w:rPr>
        <w:t>The Quality Lead may add a for-cause audit (for example after a critical finding or an integrity concern) and records it and its reason on F-700-02.</w:t>
      </w:r>
    </w:p>
    <w:p>
      <w:pPr>
        <w:tabs>
          <w:tab w:pos="648" w:val="left"/>
        </w:tabs>
        <w:ind w:left="648" w:hanging="648"/>
      </w:pPr>
      <w:r>
        <w:rPr>
          <w:b/>
        </w:rPr>
        <w:t>5.7.5</w:t>
        <w:tab/>
      </w:r>
      <w:r>
        <w:rPr>
          <w:b w:val="0"/>
        </w:rPr>
        <w:t>The auditor:</w:t>
      </w:r>
    </w:p>
    <w:p>
      <w:pPr>
        <w:pStyle w:val="ListBullet"/>
        <w:spacing w:after="40"/>
        <w:ind w:left="1008" w:hanging="259"/>
      </w:pPr>
      <w:r>
        <w:rPr>
          <w:b w:val="0"/>
        </w:rPr>
        <w:t xml:space="preserve">gives the PI or process owner scope, dates and records needed at least </w:t>
      </w:r>
      <w:r>
        <w:rPr>
          <w:b w:val="0"/>
          <w:highlight w:val="green"/>
        </w:rPr>
        <w:t>[DEFAULT: 10 business days]</w:t>
      </w:r>
      <w:r>
        <w:rPr>
          <w:b w:val="0"/>
        </w:rPr>
        <w:t xml:space="preserve"> ahead (for-cause audits may be unannounced with Site Director approval)</w:t>
      </w:r>
    </w:p>
    <w:p>
      <w:pPr>
        <w:pStyle w:val="ListBullet"/>
        <w:spacing w:after="40"/>
        <w:ind w:left="1008" w:hanging="259"/>
      </w:pPr>
      <w:r>
        <w:rPr>
          <w:b w:val="0"/>
        </w:rPr>
        <w:t>selects participant records by a documented sample and traces data from source to CRF and back</w:t>
      </w:r>
    </w:p>
    <w:p>
      <w:pPr>
        <w:pStyle w:val="ListBullet"/>
        <w:spacing w:after="40"/>
        <w:ind w:left="1008" w:hanging="259"/>
      </w:pPr>
      <w:r>
        <w:rPr>
          <w:b w:val="0"/>
        </w:rPr>
        <w:t>interviews staff and reviews delegation, system access and audit trails for the tasks performed</w:t>
      </w:r>
    </w:p>
    <w:p>
      <w:pPr>
        <w:pStyle w:val="ListBullet"/>
        <w:spacing w:after="40"/>
        <w:ind w:left="1008" w:hanging="259"/>
      </w:pPr>
      <w:r>
        <w:rPr>
          <w:b w:val="0"/>
        </w:rPr>
        <w:t>presents findings at a closing meeting and corrects factual errors there</w:t>
      </w:r>
    </w:p>
    <w:p>
      <w:pPr>
        <w:pStyle w:val="ListBullet"/>
        <w:spacing w:after="40"/>
        <w:ind w:left="1008" w:hanging="259"/>
      </w:pPr>
      <w:r>
        <w:rPr>
          <w:b w:val="0"/>
        </w:rPr>
        <w:t xml:space="preserve">issues the report on Part 2 of F-700-02 within </w:t>
      </w:r>
      <w:r>
        <w:rPr>
          <w:b w:val="0"/>
          <w:highlight w:val="green"/>
        </w:rPr>
        <w:t>[DEFAULT: 15 business days]</w:t>
      </w:r>
      <w:r>
        <w:rPr>
          <w:b w:val="0"/>
        </w:rPr>
        <w:t>, with scope, sample, findings, grades and evidence</w:t>
      </w:r>
    </w:p>
    <w:p>
      <w:pPr>
        <w:tabs>
          <w:tab w:pos="648" w:val="left"/>
        </w:tabs>
        <w:ind w:left="648" w:hanging="648"/>
      </w:pPr>
      <w:r>
        <w:rPr>
          <w:b/>
        </w:rPr>
        <w:t>5.7.6</w:t>
        <w:tab/>
      </w:r>
      <w:r>
        <w:rPr>
          <w:b w:val="0"/>
        </w:rPr>
        <w:t xml:space="preserve">The PI or process owner responds within </w:t>
      </w:r>
      <w:r>
        <w:rPr>
          <w:b w:val="0"/>
          <w:highlight w:val="green"/>
        </w:rPr>
        <w:t>[DEFAULT: 30 calendar days]</w:t>
      </w:r>
      <w:r>
        <w:rPr>
          <w:b w:val="0"/>
        </w:rPr>
        <w:t xml:space="preserve"> with a correction for each finding and, for major and critical findings, a CAPA under SOP-08. Findings that are deviations go on F-308-01.</w:t>
      </w:r>
    </w:p>
    <w:p>
      <w:pPr>
        <w:tabs>
          <w:tab w:pos="648" w:val="left"/>
        </w:tabs>
        <w:ind w:left="648" w:hanging="648"/>
      </w:pPr>
      <w:r>
        <w:rPr>
          <w:b/>
        </w:rPr>
        <w:t>5.7.7</w:t>
        <w:tab/>
      </w:r>
      <w:r>
        <w:rPr>
          <w:b w:val="0"/>
        </w:rPr>
        <w:t>Internal audit reports are internal QA records. The site confirms to sponsors or inspectors that an audit took place (plan and dated completion statement) without routinely sharing the report. Release of a report needs Site Director approval and follows any CTA term.</w:t>
      </w:r>
    </w:p>
    <w:p>
      <w:pPr>
        <w:pStyle w:val="Heading2"/>
      </w:pPr>
      <w:r>
        <w:t>5.8 Management review</w:t>
      </w:r>
    </w:p>
    <w:p>
      <w:pPr>
        <w:tabs>
          <w:tab w:pos="648" w:val="left"/>
        </w:tabs>
        <w:ind w:left="648" w:hanging="648"/>
      </w:pPr>
      <w:r>
        <w:rPr>
          <w:b/>
        </w:rPr>
        <w:t>5.8.1</w:t>
        <w:tab/>
      </w:r>
      <w:r>
        <w:rPr>
          <w:b w:val="0"/>
        </w:rPr>
        <w:t>The Site Director, Quality Lead and PIs hold a management review at least annually (it may be combined with the Q4 quality review), and also after any Form FDA 483 or critical audit finding.</w:t>
      </w:r>
    </w:p>
    <w:p>
      <w:pPr>
        <w:tabs>
          <w:tab w:pos="648" w:val="left"/>
        </w:tabs>
        <w:ind w:left="648" w:hanging="648"/>
      </w:pPr>
      <w:r>
        <w:rPr>
          <w:b/>
        </w:rPr>
        <w:t>5.8.2</w:t>
        <w:tab/>
      </w:r>
      <w:r>
        <w:rPr>
          <w:b w:val="0"/>
        </w:rPr>
        <w:t>Inputs: the four quarterly reviews, internal audit results, sponsor and IRB audits and FDA inspections or RRAs (SOP-13), CAPA status and effectiveness, the number and type of integrity concerns without reporters' names (SOP-M5 if adopted, otherwise SOP-08, 5.6.5), the business continuity test (SOP-16), the independent reviewer's hours and missed turnarounds (SOP-02), staffing and workload, regulatory changes and SOP review status (SOP-01).</w:t>
      </w:r>
    </w:p>
    <w:p>
      <w:pPr>
        <w:tabs>
          <w:tab w:pos="648" w:val="left"/>
        </w:tabs>
        <w:ind w:left="648" w:hanging="648"/>
      </w:pPr>
      <w:r>
        <w:rPr>
          <w:b/>
        </w:rPr>
        <w:t>5.8.3</w:t>
        <w:tab/>
      </w:r>
      <w:r>
        <w:rPr>
          <w:b w:val="0"/>
        </w:rPr>
        <w:t>Outputs are decisions with owners and dates (SOP revisions, added QC, training, staffing, new CAPAs, next year's audit priorities).</w:t>
      </w:r>
    </w:p>
    <w:p>
      <w:pPr>
        <w:tabs>
          <w:tab w:pos="648" w:val="left"/>
        </w:tabs>
        <w:ind w:left="648" w:hanging="648"/>
      </w:pPr>
      <w:r>
        <w:rPr>
          <w:b/>
        </w:rPr>
        <w:t>5.8.4</w:t>
        <w:tab/>
      </w:r>
      <w:r>
        <w:rPr>
          <w:b w:val="0"/>
        </w:rPr>
        <w:t>The Quality Lead records the review in minutes signed by the Site Director or, where the Site Director is also the Quality Lead, by the PI or the independent reviewer named in SOP-02, and files them with the year's F-700-02. CAPAs are tracked on F-703-02; other actions in the minutes.</w:t>
      </w:r>
    </w:p>
    <w:p>
      <w:pPr>
        <w:pStyle w:val="Heading1"/>
      </w:pPr>
      <w:r>
        <w:t>6. Related Forms and SOPs</w:t>
      </w:r>
    </w:p>
    <w:p>
      <w:pPr>
        <w:pStyle w:val="ListBullet"/>
        <w:spacing w:after="40"/>
        <w:ind w:left="360" w:hanging="259"/>
      </w:pPr>
      <w:r>
        <w:rPr>
          <w:b w:val="0"/>
        </w:rPr>
        <w:t>F-100-03 SOP Master Index and Review Schedule</w:t>
      </w:r>
    </w:p>
    <w:p>
      <w:pPr>
        <w:pStyle w:val="ListBullet"/>
        <w:spacing w:after="40"/>
        <w:ind w:left="360" w:hanging="259"/>
      </w:pPr>
      <w:r>
        <w:rPr>
          <w:b w:val="0"/>
        </w:rPr>
        <w:t>F-103-01 Staff Training Log</w:t>
      </w:r>
    </w:p>
    <w:p>
      <w:pPr>
        <w:pStyle w:val="ListBullet"/>
        <w:spacing w:after="40"/>
        <w:ind w:left="360" w:hanging="259"/>
      </w:pPr>
      <w:r>
        <w:rPr>
          <w:b w:val="0"/>
        </w:rPr>
        <w:t>F-103-02 Staff Qualification File Checklist</w:t>
      </w:r>
    </w:p>
    <w:p>
      <w:pPr>
        <w:pStyle w:val="ListBullet"/>
        <w:spacing w:after="40"/>
        <w:ind w:left="360" w:hanging="259"/>
      </w:pPr>
      <w:r>
        <w:rPr>
          <w:b w:val="0"/>
        </w:rPr>
        <w:t>F-104-01 Conflict of Interest and Financial Interest Disclosure</w:t>
      </w:r>
    </w:p>
    <w:p>
      <w:pPr>
        <w:pStyle w:val="ListBullet"/>
        <w:spacing w:after="40"/>
        <w:ind w:left="360" w:hanging="259"/>
      </w:pPr>
      <w:r>
        <w:rPr>
          <w:b w:val="0"/>
        </w:rPr>
        <w:t>F-105-01 Service Provider Qualification and Oversight Record (SOP-M1, if adopted)</w:t>
      </w:r>
    </w:p>
    <w:p>
      <w:pPr>
        <w:pStyle w:val="ListBullet"/>
        <w:spacing w:after="40"/>
        <w:ind w:left="360" w:hanging="259"/>
      </w:pPr>
      <w:r>
        <w:rPr>
          <w:b w:val="0"/>
        </w:rPr>
        <w:t>F-204-01 Investigator Site File Index</w:t>
      </w:r>
    </w:p>
    <w:p>
      <w:pPr>
        <w:pStyle w:val="ListBullet"/>
        <w:spacing w:after="40"/>
        <w:ind w:left="360" w:hanging="259"/>
      </w:pPr>
      <w:r>
        <w:rPr>
          <w:b w:val="0"/>
        </w:rPr>
        <w:t>F-205-01 Study Activation Checklist</w:t>
      </w:r>
    </w:p>
    <w:p>
      <w:pPr>
        <w:pStyle w:val="ListBullet"/>
        <w:spacing w:after="40"/>
        <w:ind w:left="360" w:hanging="259"/>
      </w:pPr>
      <w:r>
        <w:rPr>
          <w:b w:val="0"/>
        </w:rPr>
        <w:t>F-300-01 Pre-Screening Log</w:t>
      </w:r>
    </w:p>
    <w:p>
      <w:pPr>
        <w:pStyle w:val="ListBullet"/>
        <w:spacing w:after="40"/>
        <w:ind w:left="360" w:hanging="259"/>
      </w:pPr>
      <w:r>
        <w:rPr>
          <w:b w:val="0"/>
        </w:rPr>
        <w:t>F-301-01 Informed Consent Process Note</w:t>
      </w:r>
    </w:p>
    <w:p>
      <w:pPr>
        <w:pStyle w:val="ListBullet"/>
        <w:spacing w:after="40"/>
        <w:ind w:left="360" w:hanging="259"/>
      </w:pPr>
      <w:r>
        <w:rPr>
          <w:b w:val="0"/>
        </w:rPr>
        <w:t>F-301-02 Consent Form Version Control Log</w:t>
      </w:r>
    </w:p>
    <w:p>
      <w:pPr>
        <w:pStyle w:val="ListBullet"/>
        <w:spacing w:after="40"/>
        <w:ind w:left="360" w:hanging="259"/>
      </w:pPr>
      <w:r>
        <w:rPr>
          <w:b w:val="0"/>
        </w:rPr>
        <w:t>F-302-01 Delegation of Authority Log</w:t>
      </w:r>
    </w:p>
    <w:p>
      <w:pPr>
        <w:pStyle w:val="ListBullet"/>
        <w:spacing w:after="40"/>
        <w:ind w:left="360" w:hanging="259"/>
      </w:pPr>
      <w:r>
        <w:rPr>
          <w:b w:val="0"/>
        </w:rPr>
        <w:t>F-303-01 Screening and Enrollment Log</w:t>
      </w:r>
    </w:p>
    <w:p>
      <w:pPr>
        <w:pStyle w:val="ListBullet"/>
        <w:spacing w:after="40"/>
        <w:ind w:left="360" w:hanging="259"/>
      </w:pPr>
      <w:r>
        <w:rPr>
          <w:b w:val="0"/>
        </w:rPr>
        <w:t>F-303-02 Eligibility Verification Checklist</w:t>
      </w:r>
    </w:p>
    <w:p>
      <w:pPr>
        <w:pStyle w:val="ListBullet"/>
        <w:spacing w:after="40"/>
        <w:ind w:left="360" w:hanging="259"/>
      </w:pPr>
      <w:r>
        <w:rPr>
          <w:b w:val="0"/>
        </w:rPr>
        <w:t>F-304-01 Investigational Product Accountability Log</w:t>
      </w:r>
    </w:p>
    <w:p>
      <w:pPr>
        <w:pStyle w:val="ListBullet"/>
        <w:spacing w:after="40"/>
        <w:ind w:left="360" w:hanging="259"/>
      </w:pPr>
      <w:r>
        <w:rPr>
          <w:b w:val="0"/>
        </w:rPr>
        <w:t>F-304-02 Temperature Monitoring Log</w:t>
      </w:r>
    </w:p>
    <w:p>
      <w:pPr>
        <w:pStyle w:val="ListBullet"/>
        <w:spacing w:after="40"/>
        <w:ind w:left="360" w:hanging="259"/>
      </w:pPr>
      <w:r>
        <w:rPr>
          <w:b w:val="0"/>
        </w:rPr>
        <w:t>F-304-03 Temperature Excursion Report</w:t>
      </w:r>
    </w:p>
    <w:p>
      <w:pPr>
        <w:pStyle w:val="ListBullet"/>
        <w:spacing w:after="40"/>
        <w:ind w:left="360" w:hanging="259"/>
      </w:pPr>
      <w:r>
        <w:rPr>
          <w:b w:val="0"/>
        </w:rPr>
        <w:t>F-304-04 Participant IP Dispensing and Return Log</w:t>
      </w:r>
    </w:p>
    <w:p>
      <w:pPr>
        <w:pStyle w:val="ListBullet"/>
        <w:spacing w:after="40"/>
        <w:ind w:left="360" w:hanging="259"/>
      </w:pPr>
      <w:r>
        <w:rPr>
          <w:b w:val="0"/>
        </w:rPr>
        <w:t>F-306-01 Note to File</w:t>
      </w:r>
    </w:p>
    <w:p>
      <w:pPr>
        <w:pStyle w:val="ListBullet"/>
        <w:spacing w:after="40"/>
        <w:ind w:left="360" w:hanging="259"/>
      </w:pPr>
      <w:r>
        <w:rPr>
          <w:b w:val="0"/>
        </w:rPr>
        <w:t>F-308-01 Protocol Deviation Log</w:t>
      </w:r>
    </w:p>
    <w:p>
      <w:pPr>
        <w:pStyle w:val="ListBullet"/>
        <w:spacing w:after="40"/>
        <w:ind w:left="360" w:hanging="259"/>
      </w:pPr>
      <w:r>
        <w:rPr>
          <w:b w:val="0"/>
        </w:rPr>
        <w:t>F-310-01 Participant Payment Log</w:t>
      </w:r>
    </w:p>
    <w:p>
      <w:pPr>
        <w:pStyle w:val="ListBullet"/>
        <w:spacing w:after="40"/>
        <w:ind w:left="360" w:hanging="259"/>
      </w:pPr>
      <w:r>
        <w:rPr>
          <w:b w:val="0"/>
        </w:rPr>
        <w:t>F-312-01 Equipment Inventory and Calibration Log</w:t>
      </w:r>
    </w:p>
    <w:p>
      <w:pPr>
        <w:pStyle w:val="ListBullet"/>
        <w:spacing w:after="40"/>
        <w:ind w:left="360" w:hanging="259"/>
      </w:pPr>
      <w:r>
        <w:rPr>
          <w:b w:val="0"/>
        </w:rPr>
        <w:t>F-313-01 Remote Visit and Home Health Visit Record (SOP-M4, if adopted)</w:t>
      </w:r>
    </w:p>
    <w:p>
      <w:pPr>
        <w:pStyle w:val="ListBullet"/>
        <w:spacing w:after="40"/>
        <w:ind w:left="360" w:hanging="259"/>
      </w:pPr>
      <w:r>
        <w:rPr>
          <w:b w:val="0"/>
        </w:rPr>
        <w:t>F-400-01 Privacy Incident Report</w:t>
      </w:r>
    </w:p>
    <w:p>
      <w:pPr>
        <w:pStyle w:val="ListBullet"/>
        <w:spacing w:after="40"/>
        <w:ind w:left="360" w:hanging="259"/>
      </w:pPr>
      <w:r>
        <w:rPr>
          <w:b w:val="0"/>
        </w:rPr>
        <w:t>F-401-01 Computerized System Inventory and Access Log</w:t>
      </w:r>
    </w:p>
    <w:p>
      <w:pPr>
        <w:pStyle w:val="ListBullet"/>
        <w:spacing w:after="40"/>
        <w:ind w:left="360" w:hanging="259"/>
      </w:pPr>
      <w:r>
        <w:rPr>
          <w:b w:val="0"/>
        </w:rPr>
        <w:t>F-500-01 Adverse Event Assessment Worksheet</w:t>
      </w:r>
    </w:p>
    <w:p>
      <w:pPr>
        <w:pStyle w:val="ListBullet"/>
        <w:spacing w:after="40"/>
        <w:ind w:left="360" w:hanging="259"/>
      </w:pPr>
      <w:r>
        <w:rPr>
          <w:b w:val="0"/>
        </w:rPr>
        <w:t>F-501-01 SAE Reporting Tracker</w:t>
      </w:r>
    </w:p>
    <w:p>
      <w:pPr>
        <w:pStyle w:val="ListBullet"/>
        <w:spacing w:after="40"/>
        <w:ind w:left="360" w:hanging="259"/>
      </w:pPr>
      <w:r>
        <w:rPr>
          <w:b w:val="0"/>
        </w:rPr>
        <w:t>F-502-01 Reportable New Information Assessment</w:t>
      </w:r>
    </w:p>
    <w:p>
      <w:pPr>
        <w:pStyle w:val="ListBullet"/>
        <w:spacing w:after="40"/>
        <w:ind w:left="360" w:hanging="259"/>
      </w:pPr>
      <w:r>
        <w:rPr>
          <w:b w:val="0"/>
        </w:rPr>
        <w:t>F-600-01 Monitoring Visit Log</w:t>
      </w:r>
    </w:p>
    <w:p>
      <w:pPr>
        <w:pStyle w:val="ListBullet"/>
        <w:spacing w:after="40"/>
        <w:ind w:left="360" w:hanging="259"/>
      </w:pPr>
      <w:r>
        <w:rPr>
          <w:b w:val="0"/>
        </w:rPr>
        <w:t>F-600-02 Monitoring Follow-Up Action Tracker</w:t>
      </w:r>
    </w:p>
    <w:p>
      <w:pPr>
        <w:pStyle w:val="ListBullet"/>
        <w:spacing w:after="40"/>
        <w:ind w:left="360" w:hanging="259"/>
      </w:pPr>
      <w:r>
        <w:rPr>
          <w:b w:val="0"/>
        </w:rPr>
        <w:t>F-700-01 Internal QC Review Checklist</w:t>
      </w:r>
    </w:p>
    <w:p>
      <w:pPr>
        <w:pStyle w:val="ListBullet"/>
        <w:spacing w:after="40"/>
        <w:ind w:left="360" w:hanging="259"/>
      </w:pPr>
      <w:r>
        <w:rPr>
          <w:b w:val="0"/>
        </w:rPr>
        <w:t>F-700-02 Annual Audit Plan and Audit Report</w:t>
      </w:r>
    </w:p>
    <w:p>
      <w:pPr>
        <w:pStyle w:val="ListBullet"/>
        <w:spacing w:after="40"/>
        <w:ind w:left="360" w:hanging="259"/>
      </w:pPr>
      <w:r>
        <w:rPr>
          <w:b w:val="0"/>
        </w:rPr>
        <w:t>F-703-01 CAPA Record</w:t>
      </w:r>
    </w:p>
    <w:p>
      <w:pPr>
        <w:pStyle w:val="ListBullet"/>
        <w:spacing w:after="40"/>
        <w:ind w:left="360" w:hanging="259"/>
      </w:pPr>
      <w:r>
        <w:rPr>
          <w:b w:val="0"/>
        </w:rPr>
        <w:t>F-703-02 CAPA Log</w:t>
      </w:r>
    </w:p>
    <w:p>
      <w:pPr>
        <w:pStyle w:val="ListBullet"/>
        <w:spacing w:after="40"/>
        <w:ind w:left="360" w:hanging="259"/>
      </w:pPr>
      <w:r>
        <w:rPr>
          <w:b w:val="0"/>
        </w:rPr>
        <w:t>F-705-01 Business Continuity Plan and Emergency Contacts</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SOP-04 Informed Consent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SOP-06 Investigational Product Management</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SOP-13 Monitoring, Audits and Inspections</w:t>
      </w:r>
    </w:p>
    <w:p>
      <w:pPr>
        <w:pStyle w:val="ListBullet"/>
        <w:spacing w:after="40"/>
        <w:ind w:left="360" w:hanging="259"/>
      </w:pPr>
      <w:r>
        <w:rPr>
          <w:b w:val="0"/>
        </w:rPr>
        <w:t>SOP-15 Study Closeout</w:t>
      </w:r>
    </w:p>
    <w:p>
      <w:pPr>
        <w:pStyle w:val="ListBullet"/>
        <w:spacing w:after="40"/>
        <w:ind w:left="360" w:hanging="259"/>
      </w:pPr>
      <w:r>
        <w:rPr>
          <w:b w:val="0"/>
        </w:rPr>
        <w:t>SOP-16 Business Continuity and PI Coverage</w:t>
      </w:r>
    </w:p>
    <w:p>
      <w:pPr>
        <w:pStyle w:val="ListBullet"/>
        <w:spacing w:after="40"/>
        <w:ind w:left="360" w:hanging="259"/>
      </w:pPr>
      <w:r>
        <w:rPr>
          <w:b w:val="0"/>
        </w:rPr>
        <w:t>SOP-M1 Service Providers and Vendors (if adopted)</w:t>
      </w:r>
    </w:p>
    <w:p>
      <w:pPr>
        <w:pStyle w:val="ListBullet"/>
        <w:spacing w:after="40"/>
        <w:ind w:left="360" w:hanging="259"/>
      </w:pPr>
      <w:r>
        <w:rPr>
          <w:b w:val="0"/>
        </w:rPr>
        <w:t>SOP-M2 Feasibility, Contracts, Budgets and Research Billing (if adopted)</w:t>
      </w:r>
    </w:p>
    <w:p>
      <w:pPr>
        <w:pStyle w:val="ListBullet"/>
        <w:spacing w:after="40"/>
        <w:ind w:left="360" w:hanging="259"/>
      </w:pPr>
      <w:r>
        <w:rPr>
          <w:b w:val="0"/>
        </w:rPr>
        <w:t>SOP-M3 Recruitment and Advertising (if adopted)</w:t>
      </w:r>
    </w:p>
    <w:p>
      <w:pPr>
        <w:pStyle w:val="ListBullet"/>
        <w:spacing w:after="40"/>
        <w:ind w:left="360" w:hanging="259"/>
      </w:pPr>
      <w:r>
        <w:rPr>
          <w:b w:val="0"/>
        </w:rPr>
        <w:t>SOP-M4 Decentralized Trial Elements (if adopted)</w:t>
      </w:r>
    </w:p>
    <w:p>
      <w:pPr>
        <w:pStyle w:val="ListBullet"/>
        <w:spacing w:after="40"/>
        <w:ind w:left="360" w:hanging="259"/>
      </w:pPr>
      <w:r>
        <w:rPr>
          <w:b w:val="0"/>
        </w:rPr>
        <w:t>SOP-M5 Research Integrity and Misconduct Reporting (if adopted)</w:t>
      </w:r>
    </w:p>
    <w:p>
      <w:pPr>
        <w:pStyle w:val="ListBullet"/>
        <w:spacing w:after="40"/>
        <w:ind w:left="360" w:hanging="259"/>
      </w:pPr>
      <w:r>
        <w:rPr>
          <w:b w:val="0"/>
        </w:rPr>
        <w:t>SOP-M6 Sponsor-Investigator Studies (IND/IDE Holder)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312.60; 21 CFR 812.100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312.62; 21 CFR 812.140</w:t>
            </w:r>
          </w:p>
        </w:tc>
        <w:tc>
          <w:tcPr>
            <w:tcW w:type="dxa" w:w="6946"/>
          </w:tcPr>
          <w:p>
            <w:pPr>
              <w:spacing w:after="0"/>
            </w:pPr>
            <w:r>
              <w:rPr>
                <w:b w:val="0"/>
                <w:sz w:val="19"/>
              </w:rPr>
              <w:t>Investigator records</w:t>
            </w:r>
          </w:p>
        </w:tc>
      </w:tr>
      <w:tr>
        <w:trPr>
          <w:cantSplit w:val="true"/>
        </w:trPr>
        <w:tc>
          <w:tcPr>
            <w:tcW w:type="dxa" w:w="2701"/>
          </w:tcPr>
          <w:p>
            <w:pPr>
              <w:spacing w:after="0"/>
            </w:pPr>
            <w:r>
              <w:rPr>
                <w:b w:val="0"/>
                <w:sz w:val="19"/>
              </w:rPr>
              <w:t>ICH E6(R3) Principles 6 and 7</w:t>
            </w:r>
          </w:p>
        </w:tc>
        <w:tc>
          <w:tcPr>
            <w:tcW w:type="dxa" w:w="6946"/>
          </w:tcPr>
          <w:p>
            <w:pPr>
              <w:spacing w:after="0"/>
            </w:pPr>
            <w:r>
              <w:rPr>
                <w:b w:val="0"/>
                <w:sz w:val="19"/>
              </w:rPr>
              <w:t>Quality by design; risk-proportionate processes</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Investigator responsibilities: delegation and oversight</w:t>
            </w:r>
          </w:p>
        </w:tc>
      </w:tr>
      <w:tr>
        <w:trPr>
          <w:cantSplit w:val="true"/>
        </w:trPr>
        <w:tc>
          <w:tcPr>
            <w:tcW w:type="dxa" w:w="2701"/>
          </w:tcPr>
          <w:p>
            <w:pPr>
              <w:spacing w:after="0"/>
            </w:pPr>
            <w:r>
              <w:rPr>
                <w:b w:val="0"/>
                <w:sz w:val="19"/>
              </w:rPr>
              <w:t>ICH E6(R3) Annex 1, 3.11</w:t>
            </w:r>
          </w:p>
        </w:tc>
        <w:tc>
          <w:tcPr>
            <w:tcW w:type="dxa" w:w="6946"/>
          </w:tcPr>
          <w:p>
            <w:pPr>
              <w:spacing w:after="0"/>
            </w:pPr>
            <w:r>
              <w:rPr>
                <w:b w:val="0"/>
                <w:sz w:val="19"/>
              </w:rPr>
              <w:t>Quality assurance and quality control (sponsor; used as a model)</w:t>
            </w:r>
          </w:p>
        </w:tc>
      </w:tr>
      <w:tr>
        <w:trPr>
          <w:cantSplit w:val="true"/>
        </w:trPr>
        <w:tc>
          <w:tcPr>
            <w:tcW w:type="dxa" w:w="2701"/>
          </w:tcPr>
          <w:p>
            <w:pPr>
              <w:spacing w:after="0"/>
            </w:pPr>
            <w:r>
              <w:rPr>
                <w:b w:val="0"/>
                <w:sz w:val="19"/>
              </w:rPr>
              <w:t>ICH E6(R3) Glossary</w:t>
            </w:r>
          </w:p>
        </w:tc>
        <w:tc>
          <w:tcPr>
            <w:tcW w:type="dxa" w:w="6946"/>
          </w:tcPr>
          <w:p>
            <w:pPr>
              <w:spacing w:after="0"/>
            </w:pPr>
            <w:r>
              <w:rPr>
                <w:b w:val="0"/>
                <w:sz w:val="19"/>
              </w:rPr>
              <w:t>Audit, Quality Assurance, Quality Control</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r>
        <w:trPr>
          <w:cantSplit w:val="true"/>
        </w:trPr>
        <w:tc>
          <w:tcPr>
            <w:tcW w:type="dxa" w:w="2701"/>
          </w:tcPr>
          <w:p>
            <w:pPr>
              <w:spacing w:after="0"/>
            </w:pPr>
            <w:r>
              <w:rPr>
                <w:b w:val="0"/>
                <w:sz w:val="19"/>
              </w:rPr>
              <w:t>Reference Edition SOP-700</w:t>
            </w:r>
          </w:p>
        </w:tc>
        <w:tc>
          <w:tcPr>
            <w:tcW w:type="dxa" w:w="6946"/>
          </w:tcPr>
          <w:p>
            <w:pPr>
              <w:spacing w:after="0"/>
            </w:pPr>
            <w:r>
              <w:rPr>
                <w:b w:val="0"/>
                <w:sz w:val="19"/>
              </w:rPr>
              <w:t>Full text and background</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SOP-14 Quality Control and Quality Review</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SOP-14 Quality Control and Quality Review</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