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SOP-12</w:t>
      </w:r>
    </w:p>
    <w:p>
      <w:pPr>
        <w:pStyle w:val="Title"/>
        <w:pBdr>
          <w:bottom w:val="single" w:sz="12" w:space="1" w:color="1F3864"/>
        </w:pBdr>
        <w:spacing w:after="120"/>
      </w:pPr>
      <w:r>
        <w:rPr>
          <w:b w:val="0"/>
          <w:color w:val="1F3864"/>
          <w:sz w:val="36"/>
        </w:rPr>
        <w:t>Privacy, Electronic Systems and Record Retention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highlight w:val="yellow"/>
        </w:rPr>
        <w:t>[SITE NAME]</w:t>
      </w:r>
      <w:r>
        <w:rPr>
          <w:b w:val="0"/>
        </w:rPr>
        <w:t xml:space="preserve"> uses this SOP to protect participants' identifiable information under HIPAA and site policy, handle privacy incidents, control the computerized systems that hold trial records, and retain, archive, retrieve and destroy trial records for the required period.</w:t>
      </w:r>
    </w:p>
    <w:p>
      <w:pPr>
        <w:pStyle w:val="Heading1"/>
      </w:pPr>
      <w:r>
        <w:t>2. Scope</w:t>
      </w:r>
    </w:p>
    <w:p>
      <w:pPr/>
      <w:r>
        <w:rPr>
          <w:b w:val="0"/>
        </w:rPr>
        <w:t xml:space="preserve">All identifiable information about prospective participants, participants and their family members, in any form and at any location; all site-deployed and sponsor-deployed computerized systems and AI tools used for trial work; and all trial records held by or for </w:t>
      </w:r>
      <w:r>
        <w:rPr>
          <w:b w:val="0"/>
          <w:highlight w:val="yellow"/>
        </w:rPr>
        <w:t>[SITE NAME]</w:t>
      </w:r>
      <w:r>
        <w:rPr>
          <w:b w:val="0"/>
        </w:rPr>
        <w:t>, paper and electronic, including site-level records that support many studies.</w:t>
      </w:r>
    </w:p>
    <w:p>
      <w:pPr/>
      <w:r>
        <w:rPr>
          <w:b w:val="0"/>
        </w:rPr>
        <w:t>Out of scope: day-to-day ISF filing (SOP-03) and source documentation rules (SOP-07). Follow the protocol, sponsor, IRB, clinical trial agreement or state law wherever it is stricter than this SOP. This SOP is not legal advice; the site obtains legal review of its HIPAA status and of any breach determination.</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Accountable for participant confidentiality and data integrity in their studies, and for retaining investigator records for the required period (21 CFR 312.62(c), 812.140(d)). Signs preparatory-to-research and decedent representations.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Determines HIPAA status, appoints the Privacy Officer and Security Officer, signs BAAs and DUAs, approves systems and AI tools, makes breach notification decisions with legal advice, approves record destruction, and arranges custody if the site closes or is sold.</w:t>
            </w:r>
          </w:p>
        </w:tc>
      </w:tr>
      <w:tr>
        <w:trPr>
          <w:cantSplit w:val="true"/>
        </w:trPr>
        <w:tc>
          <w:tcPr>
            <w:tcW w:type="dxa" w:w="2701"/>
          </w:tcPr>
          <w:p>
            <w:pPr>
              <w:spacing w:after="0"/>
            </w:pPr>
            <w:r>
              <w:rPr>
                <w:b w:val="0"/>
                <w:sz w:val="19"/>
              </w:rPr>
              <w:t>Privacy Officer (</w:t>
            </w:r>
            <w:r>
              <w:rPr>
                <w:b w:val="0"/>
                <w:sz w:val="19"/>
                <w:highlight w:val="yellow"/>
              </w:rPr>
              <w:t>[PRIVACY OFFICER NAME]</w:t>
            </w:r>
            <w:r>
              <w:rPr>
                <w:b w:val="0"/>
                <w:sz w:val="19"/>
              </w:rPr>
              <w:t>)</w:t>
            </w:r>
          </w:p>
        </w:tc>
        <w:tc>
          <w:tcPr>
            <w:tcW w:type="dxa" w:w="6946"/>
          </w:tcPr>
          <w:p>
            <w:pPr>
              <w:spacing w:after="0"/>
            </w:pPr>
            <w:r>
              <w:rPr>
                <w:b w:val="0"/>
                <w:sz w:val="19"/>
              </w:rPr>
              <w:t>Runs the privacy program and incident log, receives privacy complaints, investigates incidents, performs breach risk assessments and accepts preparatory-to-research representations. May be the Quality Lead or Site Director.</w:t>
            </w:r>
          </w:p>
        </w:tc>
      </w:tr>
      <w:tr>
        <w:trPr>
          <w:cantSplit w:val="true"/>
        </w:trPr>
        <w:tc>
          <w:tcPr>
            <w:tcW w:type="dxa" w:w="2701"/>
          </w:tcPr>
          <w:p>
            <w:pPr>
              <w:spacing w:after="0"/>
            </w:pPr>
            <w:r>
              <w:rPr>
                <w:b w:val="0"/>
                <w:sz w:val="19"/>
              </w:rPr>
              <w:t>Security Officer (</w:t>
            </w:r>
            <w:r>
              <w:rPr>
                <w:b w:val="0"/>
                <w:sz w:val="19"/>
                <w:highlight w:val="yellow"/>
              </w:rPr>
              <w:t>[SECURITY OFFICER NAME]</w:t>
            </w:r>
            <w:r>
              <w:rPr>
                <w:b w:val="0"/>
                <w:sz w:val="19"/>
              </w:rPr>
              <w:t>)</w:t>
            </w:r>
          </w:p>
        </w:tc>
        <w:tc>
          <w:tcPr>
            <w:tcW w:type="dxa" w:w="6946"/>
          </w:tcPr>
          <w:p>
            <w:pPr>
              <w:spacing w:after="0"/>
            </w:pPr>
            <w:r>
              <w:rPr>
                <w:b w:val="0"/>
                <w:sz w:val="19"/>
              </w:rPr>
              <w:t>Runs technical safeguards and the security risk analysis. May be the Privacy Officer or an outsourced IT provider the Site Director oversees.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Keeps F-401-01, system risk assessments and validation evidence; runs access and audit trail reviews.</w:t>
            </w:r>
          </w:p>
        </w:tc>
      </w:tr>
      <w:tr>
        <w:trPr>
          <w:cantSplit w:val="true"/>
        </w:trPr>
        <w:tc>
          <w:tcPr>
            <w:tcW w:type="dxa" w:w="2701"/>
          </w:tcPr>
          <w:p>
            <w:pPr>
              <w:spacing w:after="0"/>
            </w:pPr>
            <w:r>
              <w:rPr>
                <w:b w:val="0"/>
                <w:sz w:val="19"/>
              </w:rPr>
              <w:t>System Owner (named per system on F-401-01)</w:t>
            </w:r>
          </w:p>
        </w:tc>
        <w:tc>
          <w:tcPr>
            <w:tcW w:type="dxa" w:w="6946"/>
          </w:tcPr>
          <w:p>
            <w:pPr>
              <w:spacing w:after="0"/>
            </w:pPr>
            <w:r>
              <w:rPr>
                <w:b w:val="0"/>
                <w:sz w:val="19"/>
              </w:rPr>
              <w:t>Grants and removes access, manages configuration and changes, and liaises with the vendor.</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Files authorizations, waivers, representations and DUAs; requests and removes sponsor system access; archives records on F-402-01 and handles retrieval.</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Use only their own credentials, access only the information their role needs, and report suspected privacy or security incidents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Covered entity</w:t>
            </w:r>
          </w:p>
        </w:tc>
        <w:tc>
          <w:tcPr>
            <w:tcW w:type="dxa" w:w="6946"/>
          </w:tcPr>
          <w:p>
            <w:pPr>
              <w:spacing w:after="0"/>
            </w:pPr>
            <w:r>
              <w:rPr>
                <w:b w:val="0"/>
                <w:sz w:val="19"/>
              </w:rPr>
              <w:t>A health plan, clearinghouse, or health care provider that transmits health information electronically in a HIPAA standard transaction.</w:t>
            </w:r>
          </w:p>
        </w:tc>
      </w:tr>
      <w:tr>
        <w:trPr>
          <w:cantSplit w:val="true"/>
        </w:trPr>
        <w:tc>
          <w:tcPr>
            <w:tcW w:type="dxa" w:w="2701"/>
          </w:tcPr>
          <w:p>
            <w:pPr>
              <w:spacing w:after="0"/>
            </w:pPr>
            <w:r>
              <w:rPr>
                <w:b w:val="0"/>
                <w:sz w:val="19"/>
              </w:rPr>
              <w:t>Protected health information (PHI)</w:t>
            </w:r>
          </w:p>
        </w:tc>
        <w:tc>
          <w:tcPr>
            <w:tcW w:type="dxa" w:w="6946"/>
          </w:tcPr>
          <w:p>
            <w:pPr>
              <w:spacing w:after="0"/>
            </w:pPr>
            <w:r>
              <w:rPr>
                <w:b w:val="0"/>
                <w:sz w:val="19"/>
              </w:rPr>
              <w:t>Individually identifiable health information. In this SOP, identifiable participant health information held by the site, whether or not HIPAA applies to it.</w:t>
            </w:r>
          </w:p>
        </w:tc>
      </w:tr>
      <w:tr>
        <w:trPr>
          <w:cantSplit w:val="true"/>
        </w:trPr>
        <w:tc>
          <w:tcPr>
            <w:tcW w:type="dxa" w:w="2701"/>
          </w:tcPr>
          <w:p>
            <w:pPr>
              <w:spacing w:after="0"/>
            </w:pPr>
            <w:r>
              <w:rPr>
                <w:b w:val="0"/>
                <w:sz w:val="19"/>
              </w:rPr>
              <w:t>Business associate (BA)</w:t>
            </w:r>
          </w:p>
        </w:tc>
        <w:tc>
          <w:tcPr>
            <w:tcW w:type="dxa" w:w="6946"/>
          </w:tcPr>
          <w:p>
            <w:pPr>
              <w:spacing w:after="0"/>
            </w:pPr>
            <w:r>
              <w:rPr>
                <w:b w:val="0"/>
                <w:sz w:val="19"/>
              </w:rPr>
              <w:t>A person or entity that creates, receives, maintains or transmits PHI for a covered entity's HIPAA function. Sponsors receiving data under an authorization are generally not BAs.</w:t>
            </w:r>
          </w:p>
        </w:tc>
      </w:tr>
      <w:tr>
        <w:trPr>
          <w:cantSplit w:val="true"/>
        </w:trPr>
        <w:tc>
          <w:tcPr>
            <w:tcW w:type="dxa" w:w="2701"/>
          </w:tcPr>
          <w:p>
            <w:pPr>
              <w:spacing w:after="0"/>
            </w:pPr>
            <w:r>
              <w:rPr>
                <w:b w:val="0"/>
                <w:sz w:val="19"/>
              </w:rPr>
              <w:t>Authorization</w:t>
            </w:r>
          </w:p>
        </w:tc>
        <w:tc>
          <w:tcPr>
            <w:tcW w:type="dxa" w:w="6946"/>
          </w:tcPr>
          <w:p>
            <w:pPr>
              <w:spacing w:after="0"/>
            </w:pPr>
            <w:r>
              <w:rPr>
                <w:b w:val="0"/>
                <w:sz w:val="19"/>
              </w:rPr>
              <w:t>A participant's signed permission for research use and disclosure of PHI containing the elements in 45 CFR 164.508(c).</w:t>
            </w:r>
          </w:p>
        </w:tc>
      </w:tr>
      <w:tr>
        <w:trPr>
          <w:cantSplit w:val="true"/>
        </w:trPr>
        <w:tc>
          <w:tcPr>
            <w:tcW w:type="dxa" w:w="2701"/>
          </w:tcPr>
          <w:p>
            <w:pPr>
              <w:spacing w:after="0"/>
            </w:pPr>
            <w:r>
              <w:rPr>
                <w:b w:val="0"/>
                <w:sz w:val="19"/>
              </w:rPr>
              <w:t>Limited data set (LDS)</w:t>
            </w:r>
          </w:p>
        </w:tc>
        <w:tc>
          <w:tcPr>
            <w:tcW w:type="dxa" w:w="6946"/>
          </w:tcPr>
          <w:p>
            <w:pPr>
              <w:spacing w:after="0"/>
            </w:pPr>
            <w:r>
              <w:rPr>
                <w:b w:val="0"/>
                <w:sz w:val="19"/>
              </w:rPr>
              <w:t>PHI without direct identifiers that may include dates, city, state, ZIP code and ages, disclosed only under a data use agreement (DUA) (45 CFR 164.514(e)).</w:t>
            </w:r>
          </w:p>
        </w:tc>
      </w:tr>
      <w:tr>
        <w:trPr>
          <w:cantSplit w:val="true"/>
        </w:trPr>
        <w:tc>
          <w:tcPr>
            <w:tcW w:type="dxa" w:w="2701"/>
          </w:tcPr>
          <w:p>
            <w:pPr>
              <w:spacing w:after="0"/>
            </w:pPr>
            <w:r>
              <w:rPr>
                <w:b w:val="0"/>
                <w:sz w:val="19"/>
              </w:rPr>
              <w:t>Breach</w:t>
            </w:r>
          </w:p>
        </w:tc>
        <w:tc>
          <w:tcPr>
            <w:tcW w:type="dxa" w:w="6946"/>
          </w:tcPr>
          <w:p>
            <w:pPr>
              <w:spacing w:after="0"/>
            </w:pPr>
            <w:r>
              <w:rPr>
                <w:b w:val="0"/>
                <w:sz w:val="19"/>
              </w:rPr>
              <w:t>Acquisition, access, use or disclosure of unsecured PHI not permitted by the Privacy Rule, presumed a breach unless a documented risk assessment shows a low probability of compromise (45 CFR 164.402).</w:t>
            </w:r>
          </w:p>
        </w:tc>
      </w:tr>
      <w:tr>
        <w:trPr>
          <w:cantSplit w:val="true"/>
        </w:trPr>
        <w:tc>
          <w:tcPr>
            <w:tcW w:type="dxa" w:w="2701"/>
          </w:tcPr>
          <w:p>
            <w:pPr>
              <w:spacing w:after="0"/>
            </w:pPr>
            <w:r>
              <w:rPr>
                <w:b w:val="0"/>
                <w:sz w:val="19"/>
              </w:rPr>
              <w:t>Site-deployed system</w:t>
            </w:r>
          </w:p>
        </w:tc>
        <w:tc>
          <w:tcPr>
            <w:tcW w:type="dxa" w:w="6946"/>
          </w:tcPr>
          <w:p>
            <w:pPr>
              <w:spacing w:after="0"/>
            </w:pPr>
            <w:r>
              <w:rPr>
                <w:b w:val="0"/>
                <w:sz w:val="19"/>
              </w:rPr>
              <w:t>A system the site selects, contracts or configures for trial records (for example eReg, site eConsent, eSource, temperature monitoring). Sponsor-deployed systems (EDC, IRT, ePRO) are validated by the sponsor.</w:t>
            </w:r>
          </w:p>
        </w:tc>
      </w:tr>
      <w:tr>
        <w:trPr>
          <w:cantSplit w:val="true"/>
        </w:trPr>
        <w:tc>
          <w:tcPr>
            <w:tcW w:type="dxa" w:w="2701"/>
          </w:tcPr>
          <w:p>
            <w:pPr>
              <w:spacing w:after="0"/>
            </w:pPr>
            <w:r>
              <w:rPr>
                <w:b w:val="0"/>
                <w:sz w:val="19"/>
              </w:rPr>
              <w:t>Audit trail</w:t>
            </w:r>
          </w:p>
        </w:tc>
        <w:tc>
          <w:tcPr>
            <w:tcW w:type="dxa" w:w="6946"/>
          </w:tcPr>
          <w:p>
            <w:pPr>
              <w:spacing w:after="0"/>
            </w:pPr>
            <w:r>
              <w:rPr>
                <w:b w:val="0"/>
                <w:sz w:val="19"/>
              </w:rPr>
              <w:t>A secure, computer-generated, time-stamped record of entries and actions that create, modify or delete electronic records (21 CFR 11.10(e)).</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verified, by dated signature or a validated process, to have the same information as the original, including relevant metadata.</w:t>
            </w:r>
          </w:p>
        </w:tc>
      </w:tr>
      <w:tr>
        <w:trPr>
          <w:cantSplit w:val="true"/>
        </w:trPr>
        <w:tc>
          <w:tcPr>
            <w:tcW w:type="dxa" w:w="2701"/>
          </w:tcPr>
          <w:p>
            <w:pPr>
              <w:spacing w:after="0"/>
            </w:pPr>
            <w:r>
              <w:rPr>
                <w:b w:val="0"/>
                <w:sz w:val="19"/>
              </w:rPr>
              <w:t>Retention end date</w:t>
            </w:r>
          </w:p>
        </w:tc>
        <w:tc>
          <w:tcPr>
            <w:tcW w:type="dxa" w:w="6946"/>
          </w:tcPr>
          <w:p>
            <w:pPr>
              <w:spacing w:after="0"/>
            </w:pPr>
            <w:r>
              <w:rPr>
                <w:b w:val="0"/>
                <w:sz w:val="19"/>
              </w:rPr>
              <w:t>The date after which a record may be considered for destruction, set under 5.9.</w:t>
            </w:r>
          </w:p>
        </w:tc>
      </w:tr>
    </w:tbl>
    <w:p>
      <w:pPr>
        <w:spacing w:after="40"/>
      </w:pPr>
    </w:p>
    <w:p>
      <w:pPr>
        <w:pStyle w:val="Heading1"/>
      </w:pPr>
      <w:r>
        <w:t>5. Procedure</w:t>
      </w:r>
    </w:p>
    <w:p>
      <w:pPr>
        <w:pStyle w:val="Heading2"/>
      </w:pPr>
      <w:r>
        <w:t>5.1 HIPAA status</w:t>
      </w:r>
    </w:p>
    <w:p>
      <w:pPr>
        <w:tabs>
          <w:tab w:pos="648" w:val="left"/>
        </w:tabs>
        <w:ind w:left="648" w:hanging="648"/>
      </w:pPr>
      <w:r>
        <w:rPr>
          <w:b/>
        </w:rPr>
        <w:t>5.1.1</w:t>
        <w:tab/>
      </w:r>
      <w:r>
        <w:rPr>
          <w:b w:val="0"/>
        </w:rPr>
        <w:t xml:space="preserve">The Site Director determines with legal advice whether </w:t>
      </w:r>
      <w:r>
        <w:rPr>
          <w:b w:val="0"/>
          <w:highlight w:val="yellow"/>
        </w:rPr>
        <w:t>[SITE NAME]</w:t>
      </w:r>
      <w:r>
        <w:rPr>
          <w:b w:val="0"/>
        </w:rPr>
        <w:t xml:space="preserve"> is a covered entity and records it in the privacy policy. A site that bills insurers electronically for any clinical service is usually a covered entity or part of one.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is [A COVERED ENTITY / A HYBRID ENTITY WITH </w:t>
            </w:r>
            <w:r>
              <w:rPr>
                <w:b w:val="0"/>
                <w:sz w:val="20"/>
                <w:highlight w:val="yellow"/>
              </w:rPr>
              <w:t>[COMPONENT]</w:t>
            </w:r>
            <w:r>
              <w:rPr>
                <w:b w:val="0"/>
                <w:sz w:val="20"/>
              </w:rPr>
              <w:t xml:space="preserve"> DESIGNATED / NOT A COVERED ENTITY]. Determination made by </w:t>
            </w:r>
            <w:r>
              <w:rPr>
                <w:b w:val="0"/>
                <w:sz w:val="20"/>
                <w:highlight w:val="yellow"/>
              </w:rPr>
              <w:t>[NAME]</w:t>
            </w:r>
            <w:r>
              <w:rPr>
                <w:b w:val="0"/>
                <w:sz w:val="20"/>
              </w:rPr>
              <w:t xml:space="preserve"> on </w:t>
            </w:r>
            <w:r>
              <w:rPr>
                <w:b w:val="0"/>
                <w:sz w:val="20"/>
                <w:highlight w:val="yellow"/>
              </w:rPr>
              <w:t>[DATE]</w:t>
            </w:r>
            <w:r>
              <w:rPr>
                <w:b w:val="0"/>
                <w:sz w:val="20"/>
              </w:rPr>
              <w:t xml:space="preserve"> with advice from </w:t>
            </w:r>
            <w:r>
              <w:rPr>
                <w:b w:val="0"/>
                <w:sz w:val="20"/>
                <w:highlight w:val="yellow"/>
              </w:rPr>
              <w:t>[LEGAL COUNSEL]</w:t>
            </w:r>
            <w:r>
              <w:rPr>
                <w:b w:val="0"/>
                <w:sz w:val="20"/>
              </w:rPr>
              <w:t>.</w:t>
            </w:r>
          </w:p>
        </w:tc>
      </w:tr>
    </w:tbl>
    <w:p>
      <w:pPr>
        <w:spacing w:after="0"/>
      </w:pPr>
    </w:p>
    <w:p>
      <w:pPr>
        <w:tabs>
          <w:tab w:pos="648" w:val="left"/>
        </w:tabs>
        <w:ind w:left="648" w:hanging="648"/>
      </w:pPr>
      <w:r>
        <w:rPr>
          <w:b/>
        </w:rPr>
        <w:t>5.1.2</w:t>
        <w:tab/>
      </w:r>
      <w:r>
        <w:rPr>
          <w:b w:val="0"/>
        </w:rPr>
        <w:t>Whatever its status, the site applies this SOP as site policy. A non-covered site still uses HIPAA authorization language, gives waivers and representations to the covered entity holding the records, uses confidentiality agreements with vendors in place of BAAs, follows state breach law and the clinical trial agreement in place of the HIPAA breach deadlines, and logs disclosures made without authorization.</w:t>
      </w:r>
    </w:p>
    <w:p>
      <w:pPr>
        <w:pStyle w:val="Heading2"/>
      </w:pPr>
      <w:r>
        <w:t>5.2 Authorization and permitted uses</w:t>
      </w:r>
    </w:p>
    <w:p>
      <w:pPr>
        <w:tabs>
          <w:tab w:pos="648" w:val="left"/>
        </w:tabs>
        <w:ind w:left="648" w:hanging="648"/>
      </w:pPr>
      <w:r>
        <w:rPr>
          <w:b/>
        </w:rPr>
        <w:t>5.2.1</w:t>
        <w:tab/>
      </w:r>
      <w:r>
        <w:rPr>
          <w:b w:val="0"/>
        </w:rPr>
        <w:t>Before first use, the Regulatory Coordinator confirms that the IRB approved a HIPAA authorization meeting 45 CFR 164.508(c) or granted a waiver. Authorization language is not edited after IRB approval.</w:t>
      </w:r>
    </w:p>
    <w:p>
      <w:pPr>
        <w:tabs>
          <w:tab w:pos="648" w:val="left"/>
        </w:tabs>
        <w:ind w:left="648" w:hanging="648"/>
      </w:pPr>
      <w:r>
        <w:rPr>
          <w:b/>
        </w:rPr>
        <w:t>5.2.2</w:t>
        <w:tab/>
      </w:r>
      <w:r>
        <w:rPr>
          <w:b w:val="0"/>
        </w:rPr>
        <w:t>The CRC obtains the authorization at the consent visit, before any research-only use or disclosure, and gives the participant a copy. A written revocation is handled under SOP-10, 5.4.3, and the sponsor is told.</w:t>
      </w:r>
    </w:p>
    <w:p>
      <w:pPr>
        <w:tabs>
          <w:tab w:pos="648" w:val="left"/>
        </w:tabs>
        <w:ind w:left="648" w:hanging="648"/>
      </w:pPr>
      <w:r>
        <w:rPr>
          <w:b/>
        </w:rPr>
        <w:t>5.2.3</w:t>
        <w:tab/>
      </w:r>
      <w:r>
        <w:rPr>
          <w:b w:val="0"/>
        </w:rPr>
        <w:t>Without authorization, PHI is used only under an IRB or privacy board waiver (45 CFR 164.512(i)); a preparatory-to-research review under the single rule in SOP-05, 5.1.3, recorded on the Preparatory-to-Research Representation; a PI-signed decedent research representation; de-identified data confirmed by the Privacy Officer; or a limited data set under a DUA the Site Director signs. A participant ID kept with de-identified data is not derived from the person's information and its key is not disclosed (45 CFR 164.514(c)).</w:t>
      </w:r>
    </w:p>
    <w:p>
      <w:pPr>
        <w:tabs>
          <w:tab w:pos="648" w:val="left"/>
        </w:tabs>
        <w:ind w:left="648" w:hanging="648"/>
      </w:pPr>
      <w:r>
        <w:rPr>
          <w:b/>
        </w:rPr>
        <w:t>5.2.4</w:t>
        <w:tab/>
      </w:r>
      <w:r>
        <w:rPr>
          <w:b w:val="0"/>
        </w:rPr>
        <w:t>The Privacy Officer logs disclosures made outside an authorization for accounting on request (45 CFR 164.528). Part 2 substance use disorder records are flagged and used only with a Part 2-compliant consent or waiver the Privacy Officer confirms. More protective state law (Appendix A) is followed.</w:t>
      </w:r>
    </w:p>
    <w:p>
      <w:pPr>
        <w:pStyle w:val="Heading2"/>
      </w:pPr>
      <w:r>
        <w:t>5.3 Minimum necessary and copies sent outside the site</w:t>
      </w:r>
    </w:p>
    <w:p>
      <w:pPr>
        <w:tabs>
          <w:tab w:pos="648" w:val="left"/>
        </w:tabs>
        <w:ind w:left="648" w:hanging="648"/>
      </w:pPr>
      <w:r>
        <w:rPr>
          <w:b/>
        </w:rPr>
        <w:t>5.3.1</w:t>
        <w:tab/>
      </w:r>
      <w:r>
        <w:rPr>
          <w:b w:val="0"/>
        </w:rPr>
        <w:t>Staff use and disclose only the PHI the task needs. Sponsor-facing documents use participant ID; the log linking IDs to names stays at the site. Paper PHI is locked and leaves the site only for home visits; electronic PHI is kept only in approved systems.</w:t>
      </w:r>
    </w:p>
    <w:p>
      <w:pPr>
        <w:tabs>
          <w:tab w:pos="648" w:val="left"/>
        </w:tabs>
        <w:ind w:left="648" w:hanging="648"/>
      </w:pPr>
      <w:r>
        <w:rPr>
          <w:b/>
        </w:rPr>
        <w:t>5.3.2</w:t>
        <w:tab/>
      </w:r>
      <w:r>
        <w:rPr>
          <w:b w:val="0"/>
        </w:rPr>
        <w:t>This step is the single redaction rule for copies of participant records sent to sponsors, monitors, IRBs or auditors (paper, scanned, uploaded or certified copies). Other SOPs point here.</w:t>
      </w:r>
    </w:p>
    <w:p>
      <w:pPr>
        <w:pStyle w:val="ListBullet"/>
        <w:spacing w:after="40"/>
        <w:ind w:left="1008" w:hanging="259"/>
      </w:pPr>
      <w:r>
        <w:rPr>
          <w:b w:val="0"/>
        </w:rPr>
        <w:t>the sender redacts name, address, telephone, email, Social Security number, medical record number, health plan and account numbers and any other direct identifier, unless the consent and authorization permit identified copies and the recipient's documented process requires them</w:t>
      </w:r>
    </w:p>
    <w:p>
      <w:pPr>
        <w:pStyle w:val="ListBullet"/>
        <w:spacing w:after="40"/>
        <w:ind w:left="1008" w:hanging="259"/>
      </w:pPr>
      <w:r>
        <w:rPr>
          <w:b w:val="0"/>
        </w:rPr>
        <w:t>the sender labels each page with the participant ID</w:t>
      </w:r>
    </w:p>
    <w:p>
      <w:pPr>
        <w:pStyle w:val="ListBullet"/>
        <w:spacing w:after="40"/>
        <w:ind w:left="1008" w:hanging="259"/>
      </w:pPr>
      <w:r>
        <w:rPr>
          <w:b w:val="0"/>
        </w:rPr>
        <w:t xml:space="preserve">a second staff member checks the redaction before sending </w:t>
      </w:r>
      <w:r>
        <w:rPr>
          <w:b w:val="0"/>
          <w:highlight w:val="green"/>
        </w:rPr>
        <w:t>[DEFAULT: required; where only one person is available, the sender re-checks against a printed checklist and records that]</w:t>
      </w:r>
    </w:p>
    <w:p>
      <w:pPr>
        <w:pStyle w:val="ListBullet"/>
        <w:spacing w:after="40"/>
        <w:ind w:left="1008" w:hanging="259"/>
      </w:pPr>
      <w:r>
        <w:rPr>
          <w:b w:val="0"/>
        </w:rPr>
        <w:t>the sender records what was sent, to whom, the date, method and checker in the study file (for safety reports, on F-501-01)</w:t>
      </w:r>
    </w:p>
    <w:p>
      <w:pPr>
        <w:tabs>
          <w:tab w:pos="648" w:val="left"/>
        </w:tabs>
        <w:ind w:left="648" w:hanging="648"/>
      </w:pPr>
      <w:r>
        <w:rPr>
          <w:b/>
        </w:rPr>
        <w:t>5.3.3</w:t>
        <w:tab/>
      </w:r>
      <w:r>
        <w:rPr>
          <w:b w:val="0"/>
        </w:rPr>
        <w:t>Staff contact participants only through site-approved accounts. Before using unencrypted email or text, the CRC records the participant's preference on F-309-01; messages carry the minimum needed, and those with trial information are filed as source the same day. Photos are taken only where the protocol requires them or the participant authorizes it, on site devices. Staff never post about participants on social media.</w:t>
      </w:r>
    </w:p>
    <w:p>
      <w:pPr>
        <w:pStyle w:val="Heading2"/>
      </w:pPr>
      <w:r>
        <w:t>5.4 Monitor and inspector access</w:t>
      </w:r>
    </w:p>
    <w:p>
      <w:pPr>
        <w:tabs>
          <w:tab w:pos="648" w:val="left"/>
        </w:tabs>
        <w:ind w:left="648" w:hanging="648"/>
      </w:pPr>
      <w:r>
        <w:rPr>
          <w:b/>
        </w:rPr>
        <w:t>5.4.1</w:t>
        <w:tab/>
      </w:r>
      <w:r>
        <w:rPr>
          <w:b w:val="0"/>
        </w:rPr>
        <w:t>Monitors and auditors review source, including the EHR, to the extent the consent and authorization allow; FDA reviews records under 21 CFR 312.68 and 812.145. The monitor access method and accounts follow SOP-13, 5.1 and its Site decision; accounts are never shared and are recorded on F-401-01.</w:t>
      </w:r>
    </w:p>
    <w:p>
      <w:pPr>
        <w:pStyle w:val="Heading2"/>
      </w:pPr>
      <w:r>
        <w:t>5.5 Privacy incidents and breach</w:t>
      </w:r>
    </w:p>
    <w:p>
      <w:pPr>
        <w:tabs>
          <w:tab w:pos="648" w:val="left"/>
        </w:tabs>
        <w:ind w:left="648" w:hanging="648"/>
      </w:pPr>
      <w:r>
        <w:rPr>
          <w:b/>
        </w:rPr>
        <w:t>5.5.1</w:t>
        <w:tab/>
      </w:r>
      <w:r>
        <w:rPr>
          <w:b w:val="0"/>
        </w:rPr>
        <w:t xml:space="preserve">Any staff member who suspects a privacy incident (misdirected email, lost device, unauthorized access, unredacted copy sent) reports it to the Privacy Officer immediately and no later than </w:t>
      </w:r>
      <w:r>
        <w:rPr>
          <w:b w:val="0"/>
          <w:highlight w:val="green"/>
        </w:rPr>
        <w:t>[DEFAULT: the same business day]</w:t>
      </w:r>
      <w:r>
        <w:rPr>
          <w:b w:val="0"/>
        </w:rPr>
        <w:t>.</w:t>
      </w:r>
    </w:p>
    <w:p>
      <w:pPr>
        <w:tabs>
          <w:tab w:pos="648" w:val="left"/>
        </w:tabs>
        <w:ind w:left="648" w:hanging="648"/>
      </w:pPr>
      <w:r>
        <w:rPr>
          <w:b/>
        </w:rPr>
        <w:t>5.5.2</w:t>
        <w:tab/>
      </w:r>
      <w:r>
        <w:rPr>
          <w:b w:val="0"/>
        </w:rPr>
        <w:t>The Privacy Officer opens F-400-01, contains the incident with times recorded, and assesses whether a breach of unsecured PHI occurred using at least the nature and extent of the PHI, who received it, whether it was acquired or viewed, and mitigation. The Site Director reviews the assessment, with legal advice where a breach is possible.</w:t>
      </w:r>
    </w:p>
    <w:p>
      <w:pPr>
        <w:tabs>
          <w:tab w:pos="648" w:val="left"/>
        </w:tabs>
        <w:ind w:left="648" w:hanging="648"/>
      </w:pPr>
      <w:r>
        <w:rPr>
          <w:b/>
        </w:rPr>
        <w:t>5.5.3</w:t>
        <w:tab/>
      </w:r>
      <w:r>
        <w:rPr>
          <w:b w:val="0"/>
        </w:rPr>
        <w:t>For a confirmed breach at a covered entity (discovered on the first day any workforce member other than the person responsible knew or should have known):</w:t>
      </w:r>
    </w:p>
    <w:p>
      <w:pPr>
        <w:pStyle w:val="ListBullet"/>
        <w:spacing w:after="40"/>
        <w:ind w:left="1008" w:hanging="259"/>
      </w:pPr>
      <w:r>
        <w:rPr>
          <w:b w:val="0"/>
        </w:rPr>
        <w:t>affected individuals are notified in writing without unreasonable delay and no later than 60 calendar days after discovery (45 CFR 164.404)</w:t>
      </w:r>
    </w:p>
    <w:p>
      <w:pPr>
        <w:pStyle w:val="ListBullet"/>
        <w:spacing w:after="40"/>
        <w:ind w:left="1008" w:hanging="259"/>
      </w:pPr>
      <w:r>
        <w:rPr>
          <w:b w:val="0"/>
        </w:rPr>
        <w:t>for more than 500 residents of a state or jurisdiction, prominent media are notified within the same limit (164.406)</w:t>
      </w:r>
    </w:p>
    <w:p>
      <w:pPr>
        <w:pStyle w:val="ListBullet"/>
        <w:spacing w:after="40"/>
        <w:ind w:left="1008" w:hanging="259"/>
      </w:pPr>
      <w:r>
        <w:rPr>
          <w:b w:val="0"/>
        </w:rPr>
        <w:t>HHS is notified at the same time for 500 or more individuals, and for fewer within 60 days after the end of the calendar year (164.408)</w:t>
      </w:r>
    </w:p>
    <w:p>
      <w:pPr>
        <w:pStyle w:val="ListBullet"/>
        <w:spacing w:after="40"/>
        <w:ind w:left="1008" w:hanging="259"/>
      </w:pPr>
      <w:r>
        <w:rPr>
          <w:b w:val="0"/>
        </w:rPr>
        <w:t>where the site acts as a BA, it notifies the covered entity as the BAA requires, within 60 days of discovery (164.410)</w:t>
      </w:r>
    </w:p>
    <w:p>
      <w:pPr>
        <w:tabs>
          <w:tab w:pos="648" w:val="left"/>
        </w:tabs>
        <w:ind w:left="648" w:hanging="648"/>
      </w:pPr>
      <w:r>
        <w:rPr>
          <w:b/>
        </w:rPr>
        <w:t>5.5.4</w:t>
        <w:tab/>
      </w:r>
      <w:r>
        <w:rPr>
          <w:b w:val="0"/>
        </w:rPr>
        <w:t>The Privacy Officer applies state notice rules (Appendix A), notifies the sponsor as the clinical trial agreement requires, and has the Regulatory Coordinator report to the IRB where its policy requires (SOP-09). Systemic causes go to CAPA (SOP-08); incidents are reviewed at the quarterly quality review (SOP-14).</w:t>
      </w:r>
    </w:p>
    <w:p>
      <w:pPr>
        <w:tabs>
          <w:tab w:pos="648" w:val="left"/>
        </w:tabs>
        <w:ind w:left="648" w:hanging="648"/>
      </w:pPr>
      <w:r>
        <w:rPr>
          <w:b/>
        </w:rPr>
        <w:t>5.5.5</w:t>
        <w:tab/>
      </w:r>
      <w:r>
        <w:rPr>
          <w:b w:val="0"/>
        </w:rPr>
        <w:t>Staff complete privacy and security training at hire, before PHI access, and when policies change materially, recorded on F-103-01. HIPAA documentation is kept at least 6 years from creation or last effective date (45 CFR 164.530(j)).</w:t>
      </w:r>
    </w:p>
    <w:p>
      <w:pPr>
        <w:tabs>
          <w:tab w:pos="648" w:val="left"/>
        </w:tabs>
        <w:ind w:left="648" w:hanging="648"/>
      </w:pPr>
      <w:r>
        <w:rPr>
          <w:b/>
        </w:rPr>
        <w:t>5.5.6</w:t>
        <w:tab/>
      </w:r>
      <w:r>
        <w:rPr>
          <w:b w:val="0"/>
        </w:rPr>
        <w:t>At a covered entity, the Security Officer documents a Security Rule risk analysis (45 CFR 164.308(a)(1)(ii)(A)) at adoption, before a new system holding PHI goes live, and at the annual access review (5.7.3).</w:t>
      </w:r>
    </w:p>
    <w:p>
      <w:pPr>
        <w:tabs>
          <w:tab w:pos="648" w:val="left"/>
        </w:tabs>
        <w:ind w:left="648" w:hanging="648"/>
      </w:pPr>
      <w:r>
        <w:rPr>
          <w:b/>
        </w:rPr>
        <w:t>5.5.7</w:t>
        <w:tab/>
      </w:r>
      <w:r>
        <w:rPr>
          <w:b w:val="0"/>
        </w:rPr>
        <w:t>At a covered entity, the Privacy Officer logs each privacy complaint and its disposition on F-400-01, and the Site Director applies the site's sanctions policy to staff who breach this SOP and documents any sanction (45 CFR 164.530(d), (e)).</w:t>
      </w:r>
    </w:p>
    <w:p>
      <w:pPr>
        <w:pStyle w:val="Heading2"/>
      </w:pPr>
      <w:r>
        <w:t>5.6 Computerized systems</w:t>
      </w:r>
    </w:p>
    <w:p>
      <w:pPr>
        <w:tabs>
          <w:tab w:pos="648" w:val="left"/>
        </w:tabs>
        <w:ind w:left="648" w:hanging="648"/>
      </w:pPr>
      <w:r>
        <w:rPr>
          <w:b/>
        </w:rPr>
        <w:t>5.6.1</w:t>
        <w:tab/>
      </w:r>
      <w:r>
        <w:rPr>
          <w:b w:val="0"/>
        </w:rPr>
        <w:t>The Quality Lead lists each system on F-401-01 (vendor, version, use, studies, whether it holds source, consent or PHI, System Owner, risk category, validation evidence, backup) before trial use.</w:t>
      </w:r>
    </w:p>
    <w:p>
      <w:pPr>
        <w:tabs>
          <w:tab w:pos="648" w:val="left"/>
        </w:tabs>
        <w:ind w:left="648" w:hanging="648"/>
      </w:pPr>
      <w:r>
        <w:rPr>
          <w:b/>
        </w:rPr>
        <w:t>5.6.2</w:t>
        <w:tab/>
      </w:r>
      <w:r>
        <w:rPr>
          <w:b w:val="0"/>
        </w:rPr>
        <w:t>Systems holding source or consent records, the sole copy of essential records, or driving safety decisions are High risk; systems holding trial records also kept elsewhere are Medium. For each site-deployed High or Medium system, the site files before use the vendor's validation and Part 11 evidence, its own check that its configuration works (for example an audit trail capturing a change, an alarm reaching the right person), and a vendor agreement covering security, data ownership, access through the retention period and data return. The Site Director approves open issues. Changes to High systems are re-verified where trial functions are affected.</w:t>
      </w:r>
    </w:p>
    <w:p>
      <w:pPr>
        <w:tabs>
          <w:tab w:pos="648" w:val="left"/>
        </w:tabs>
        <w:ind w:left="648" w:hanging="648"/>
      </w:pPr>
      <w:r>
        <w:rPr>
          <w:b/>
        </w:rPr>
        <w:t>5.6.3</w:t>
        <w:tab/>
      </w:r>
      <w:r>
        <w:rPr>
          <w:b w:val="0"/>
        </w:rPr>
        <w:t>Sponsor-deployed systems (EDC, IRT, ePRO) are used as the sponsor instructs after its training, with problems logged by help desk ticket.</w:t>
      </w:r>
    </w:p>
    <w:p>
      <w:pPr>
        <w:tabs>
          <w:tab w:pos="648" w:val="left"/>
        </w:tabs>
        <w:ind w:left="648" w:hanging="648"/>
      </w:pPr>
      <w:r>
        <w:rPr>
          <w:b/>
        </w:rPr>
        <w:t>5.6.4</w:t>
        <w:tab/>
      </w:r>
      <w:r>
        <w:rPr>
          <w:b w:val="0"/>
        </w:rPr>
        <w:t>Video platforms for visits or remote consent are approved by the Site Director and listed on F-401-01 before use: encrypted, under a BAA where HIPAA applies, with unique meeting links or a waiting room, and no recording unless the protocol requires it and the consent discloses it. Consumer video applications are not used (SOP-M4, if adopted).</w:t>
      </w:r>
    </w:p>
    <w:p>
      <w:pPr>
        <w:pStyle w:val="Heading2"/>
      </w:pPr>
      <w:r>
        <w:t>5.7 Access, audit trails and signatures</w:t>
      </w:r>
    </w:p>
    <w:p>
      <w:pPr>
        <w:tabs>
          <w:tab w:pos="648" w:val="left"/>
        </w:tabs>
        <w:ind w:left="648" w:hanging="648"/>
      </w:pPr>
      <w:r>
        <w:rPr>
          <w:b/>
        </w:rPr>
        <w:t>5.7.1</w:t>
        <w:tab/>
      </w:r>
      <w:r>
        <w:rPr>
          <w:b w:val="0"/>
        </w:rPr>
        <w:t xml:space="preserve">Every user has a unique account; logins and passwords are never shared. Access matches F-302-01, follows system training and is recorded on F-401-01. Multi-factor authentication is used wherever supported and always for remote PHI access. Workstations lock after </w:t>
      </w:r>
      <w:r>
        <w:rPr>
          <w:b w:val="0"/>
          <w:highlight w:val="green"/>
        </w:rPr>
        <w:t>[DEFAULT: 15 minutes]</w:t>
      </w:r>
      <w:r>
        <w:rPr>
          <w:b w:val="0"/>
        </w:rPr>
        <w:t xml:space="preserve"> of inactivity.</w:t>
      </w:r>
    </w:p>
    <w:p>
      <w:pPr>
        <w:tabs>
          <w:tab w:pos="648" w:val="left"/>
        </w:tabs>
        <w:ind w:left="648" w:hanging="648"/>
      </w:pPr>
      <w:r>
        <w:rPr>
          <w:b/>
        </w:rPr>
        <w:t>5.7.2</w:t>
        <w:tab/>
      </w:r>
      <w:r>
        <w:rPr>
          <w:b w:val="0"/>
        </w:rPr>
        <w:t xml:space="preserve">Site system access is removed on </w:t>
      </w:r>
      <w:r>
        <w:rPr>
          <w:b w:val="0"/>
          <w:highlight w:val="green"/>
        </w:rPr>
        <w:t>[DEFAULT: the last working day]</w:t>
      </w:r>
      <w:r>
        <w:rPr>
          <w:b w:val="0"/>
        </w:rPr>
        <w:t xml:space="preserve"> of a departing staff member and adjusted </w:t>
      </w:r>
      <w:r>
        <w:rPr>
          <w:b w:val="0"/>
          <w:highlight w:val="green"/>
        </w:rPr>
        <w:t>[DEFAULT: within 5 business days]</w:t>
      </w:r>
      <w:r>
        <w:rPr>
          <w:b w:val="0"/>
        </w:rPr>
        <w:t xml:space="preserve"> of a role change. Sponsor system access is revoked under SOP-02, 5.3.4.</w:t>
      </w:r>
    </w:p>
    <w:p>
      <w:pPr>
        <w:tabs>
          <w:tab w:pos="648" w:val="left"/>
        </w:tabs>
        <w:ind w:left="648" w:hanging="648"/>
      </w:pPr>
      <w:r>
        <w:rPr>
          <w:b/>
        </w:rPr>
        <w:t>5.7.3</w:t>
        <w:tab/>
      </w:r>
      <w:r>
        <w:rPr>
          <w:b w:val="0"/>
        </w:rPr>
        <w:t xml:space="preserve">Annually and at every departure, the Quality Lead reviews High-system user lists against staff and delegation logs and disables unneeded accounts. At the annual review, the Quality Lead or System Owner also reviews the audit trail of </w:t>
      </w:r>
      <w:r>
        <w:rPr>
          <w:b w:val="0"/>
          <w:highlight w:val="green"/>
        </w:rPr>
        <w:t>[DEFAULT: a sample of 10 records]</w:t>
      </w:r>
      <w:r>
        <w:rPr>
          <w:b w:val="0"/>
        </w:rPr>
        <w:t xml:space="preserve"> in each site-controlled system holding source for back-dated entries, late changes and undelegated users. Both are recorded on F-401-01.</w:t>
      </w:r>
    </w:p>
    <w:p>
      <w:pPr>
        <w:tabs>
          <w:tab w:pos="648" w:val="left"/>
        </w:tabs>
        <w:ind w:left="648" w:hanging="648"/>
      </w:pPr>
      <w:r>
        <w:rPr>
          <w:b/>
        </w:rPr>
        <w:t>5.7.4</w:t>
        <w:tab/>
      </w:r>
      <w:r>
        <w:rPr>
          <w:b w:val="0"/>
        </w:rPr>
        <w:t>Site systems holding trial records keep an always-on audit trail users cannot alter, with synchronized clocks. Staff correct entries with the correction function and never delete and re-create records.</w:t>
      </w:r>
    </w:p>
    <w:p>
      <w:pPr>
        <w:tabs>
          <w:tab w:pos="648" w:val="left"/>
        </w:tabs>
        <w:ind w:left="648" w:hanging="648"/>
      </w:pPr>
      <w:r>
        <w:rPr>
          <w:b/>
        </w:rPr>
        <w:t>5.7.5</w:t>
        <w:tab/>
      </w:r>
      <w:r>
        <w:rPr>
          <w:b w:val="0"/>
        </w:rPr>
        <w:t xml:space="preserve">Electronic signatures in site-controlled systems holding FDA-required records meet 21 CFR Part 11 Subpart C. Before first use, </w:t>
      </w:r>
      <w:r>
        <w:rPr>
          <w:b w:val="0"/>
          <w:highlight w:val="yellow"/>
        </w:rPr>
        <w:t>[SITE LEGAL NAME]</w:t>
      </w:r>
      <w:r>
        <w:rPr>
          <w:b w:val="0"/>
        </w:rPr>
        <w:t xml:space="preserve"> sends FDA a letter of non-repudiation (21 CFR 11.100(c)) and each user signs an acknowledgment.</w:t>
      </w:r>
    </w:p>
    <w:p>
      <w:pPr>
        <w:tabs>
          <w:tab w:pos="648" w:val="left"/>
        </w:tabs>
        <w:ind w:left="648" w:hanging="648"/>
      </w:pPr>
      <w:r>
        <w:rPr>
          <w:b/>
        </w:rPr>
        <w:t>5.7.6</w:t>
        <w:tab/>
      </w:r>
      <w:r>
        <w:rPr>
          <w:b w:val="0"/>
        </w:rPr>
        <w:t>Copies that replace originals are certified under SOP-07. A paper original is destroyed only where the sponsor agreement allows and the Quality Lead has approved destruction for that record type; signed consent forms stay original unless the sponsor agrees and a verified copy process exists.</w:t>
      </w:r>
    </w:p>
    <w:p>
      <w:pPr>
        <w:pStyle w:val="Heading2"/>
      </w:pPr>
      <w:r>
        <w:t>5.8 Backup, security and AI tools</w:t>
      </w:r>
    </w:p>
    <w:p>
      <w:pPr>
        <w:tabs>
          <w:tab w:pos="648" w:val="left"/>
        </w:tabs>
        <w:ind w:left="648" w:hanging="648"/>
      </w:pPr>
      <w:r>
        <w:rPr>
          <w:b/>
        </w:rPr>
        <w:t>5.8.1</w:t>
        <w:tab/>
      </w:r>
      <w:r>
        <w:rPr>
          <w:b w:val="0"/>
        </w:rPr>
        <w:t xml:space="preserve">F-401-01 records backup, restore and the recovery time objective (SOP-16) for each High and Medium system. Hosted systems follow the vendor agreement; the Quality Lead with </w:t>
      </w:r>
      <w:r>
        <w:rPr>
          <w:b w:val="0"/>
          <w:highlight w:val="yellow"/>
        </w:rPr>
        <w:t>[IT SUPPORT PROVIDER]</w:t>
      </w:r>
      <w:r>
        <w:rPr>
          <w:b w:val="0"/>
        </w:rPr>
        <w:t xml:space="preserve"> restore-tests site-managed backups annually and records the test on F-401-01.</w:t>
      </w:r>
    </w:p>
    <w:p>
      <w:pPr>
        <w:tabs>
          <w:tab w:pos="648" w:val="left"/>
        </w:tabs>
        <w:ind w:left="648" w:hanging="648"/>
      </w:pPr>
      <w:r>
        <w:rPr>
          <w:b/>
        </w:rPr>
        <w:t>5.8.2</w:t>
        <w:tab/>
      </w:r>
      <w:r>
        <w:rPr>
          <w:b w:val="0"/>
        </w:rPr>
        <w:t>The Security Officer maintains patching, endpoint protection, encryption and remote wipe on devices holding PHI. Staff keep no trial records on personal devices or accounts. Security incidents, including cyberattacks, go to the Security Officer immediately and are handled as privacy incidents under 5.5 on F-400-01; those affecting trial data are reported to the sponsor.</w:t>
      </w:r>
    </w:p>
    <w:p>
      <w:pPr>
        <w:tabs>
          <w:tab w:pos="648" w:val="left"/>
        </w:tabs>
        <w:ind w:left="648" w:hanging="648"/>
      </w:pPr>
      <w:r>
        <w:rPr>
          <w:b/>
        </w:rPr>
        <w:t>5.8.3</w:t>
        <w:tab/>
      </w:r>
      <w:r>
        <w:rPr>
          <w:b w:val="0"/>
        </w:rPr>
        <w:t>Only AI tools on the approved list on F-401-01 are used for trial work. PHI goes only into a tool with a BAA, and sponsor confidential information only with the sponsor's written permission; consumer AI tools never receive participant information. AI output enters a record only after a delegated person reviews and signs it, and AI never makes eligibility, causality, dosing or other medical decisions.</w:t>
      </w:r>
    </w:p>
    <w:p>
      <w:pPr>
        <w:tabs>
          <w:tab w:pos="648" w:val="left"/>
        </w:tabs>
        <w:ind w:left="648" w:hanging="648"/>
      </w:pPr>
      <w:r>
        <w:rPr>
          <w:b/>
        </w:rPr>
        <w:t>5.8.4</w:t>
        <w:tab/>
      </w:r>
      <w:r>
        <w:rPr>
          <w:b w:val="0"/>
        </w:rPr>
        <w:t>Before a system is retired, the System Owner migrates or archives records and audit trails, verifies the migration, and deletes nothing until the Site Director approves.</w:t>
      </w:r>
    </w:p>
    <w:p>
      <w:pPr>
        <w:pStyle w:val="Heading2"/>
      </w:pPr>
      <w:r>
        <w:t>5.9 Retention periods</w:t>
      </w:r>
    </w:p>
    <w:p>
      <w:pPr>
        <w:tabs>
          <w:tab w:pos="648" w:val="left"/>
        </w:tabs>
        <w:ind w:left="648" w:hanging="648"/>
      </w:pPr>
      <w:r>
        <w:rPr>
          <w:b/>
        </w:rPr>
        <w:t>5.9.1</w:t>
        <w:tab/>
      </w:r>
      <w:r>
        <w:rPr>
          <w:b w:val="0"/>
        </w:rPr>
        <w:t>At closeout, the Regulatory Coordinator records on F-402-01 each study's retention as the longest of:</w:t>
      </w:r>
    </w:p>
    <w:p>
      <w:pPr>
        <w:pStyle w:val="ListBullet"/>
        <w:spacing w:after="40"/>
        <w:ind w:left="1008" w:hanging="259"/>
      </w:pPr>
      <w:r>
        <w:rPr>
          <w:b w:val="0"/>
        </w:rPr>
        <w:t>IND: 2 years after marketing approval for the indication, or after the investigation is discontinued and FDA notified (21 CFR 312.62(c))</w:t>
      </w:r>
    </w:p>
    <w:p>
      <w:pPr>
        <w:pStyle w:val="ListBullet"/>
        <w:spacing w:after="40"/>
        <w:ind w:left="1008" w:hanging="259"/>
      </w:pPr>
      <w:r>
        <w:rPr>
          <w:b w:val="0"/>
        </w:rPr>
        <w:t>IDE: 2 years after the later of termination or completion, or the date records are no longer needed to support a marketing application (21 CFR 812.140(d))</w:t>
      </w:r>
    </w:p>
    <w:p>
      <w:pPr>
        <w:pStyle w:val="ListBullet"/>
        <w:spacing w:after="40"/>
        <w:ind w:left="1008" w:hanging="259"/>
      </w:pPr>
      <w:r>
        <w:rPr>
          <w:b w:val="0"/>
        </w:rPr>
        <w:t>the clinical trial agreement, or until the sponsor says the records are no longer needed</w:t>
      </w:r>
    </w:p>
    <w:p>
      <w:pPr>
        <w:pStyle w:val="ListBullet"/>
        <w:spacing w:after="40"/>
        <w:ind w:left="1008" w:hanging="259"/>
      </w:pPr>
      <w:r>
        <w:rPr>
          <w:b w:val="0"/>
        </w:rPr>
        <w:t>HIPAA documentation (6 years), state medical record law including minors (Appendix A), DEA records (21 CFR 1304.04) and tax records (SOP-10)</w:t>
      </w:r>
    </w:p>
    <w:p>
      <w:pPr>
        <w:tabs>
          <w:tab w:pos="648" w:val="left"/>
        </w:tabs>
        <w:ind w:left="648" w:hanging="648"/>
      </w:pPr>
      <w:r>
        <w:rPr>
          <w:b/>
        </w:rPr>
        <w:t>5.9.2</w:t>
        <w:tab/>
      </w:r>
      <w:r>
        <w:rPr>
          <w:b w:val="0"/>
        </w:rPr>
        <w:t>The retention end date for IND and IDE records is "until the sponsor confirms in writing that retention is no longer required", unless the contract sets a later date.</w:t>
      </w:r>
    </w:p>
    <w:p>
      <w:pPr>
        <w:tabs>
          <w:tab w:pos="648" w:val="left"/>
        </w:tabs>
        <w:ind w:left="648" w:hanging="648"/>
      </w:pPr>
      <w:r>
        <w:rPr>
          <w:b/>
        </w:rPr>
        <w:t>5.9.3</w:t>
        <w:tab/>
      </w:r>
      <w:r>
        <w:rPr>
          <w:b w:val="0"/>
        </w:rPr>
        <w:t xml:space="preserve">Site-level records (SOPs, training, calibration, validation, delegation logs) may be held outside study files (ICH E6(R3) Appendix C, C.2.12) and are kept </w:t>
      </w:r>
      <w:r>
        <w:rPr>
          <w:b w:val="0"/>
          <w:highlight w:val="green"/>
        </w:rPr>
        <w:t>[DEFAULT: until every study they supported reaches its retention end date]</w:t>
      </w:r>
      <w:r>
        <w:rPr>
          <w:b w:val="0"/>
        </w:rPr>
        <w:t>.</w:t>
      </w:r>
    </w:p>
    <w:p>
      <w:pPr>
        <w:pStyle w:val="Heading2"/>
      </w:pPr>
      <w:r>
        <w:t>5.10 Archive, retrieval, custody and destruction</w:t>
      </w:r>
    </w:p>
    <w:p>
      <w:pPr>
        <w:tabs>
          <w:tab w:pos="648" w:val="left"/>
        </w:tabs>
        <w:ind w:left="648" w:hanging="648"/>
      </w:pPr>
      <w:r>
        <w:rPr>
          <w:b/>
        </w:rPr>
        <w:t>5.10.1</w:t>
        <w:tab/>
      </w:r>
      <w:r>
        <w:rPr>
          <w:b w:val="0"/>
        </w:rPr>
        <w:t>At closeout, after the ISF reconciliation and sponsor data copies in SOP-15 (or written sponsor assurance of portal access for the full retention period), boxes are labeled without participant names and recorded on F-402-01, and the sponsor is told in writing where records are and who holds them.</w:t>
      </w:r>
    </w:p>
    <w:p>
      <w:pPr>
        <w:tabs>
          <w:tab w:pos="648" w:val="left"/>
        </w:tabs>
        <w:ind w:left="648" w:hanging="648"/>
      </w:pPr>
      <w:r>
        <w:rPr>
          <w:b/>
        </w:rPr>
        <w:t>5.10.2</w:t>
        <w:tab/>
      </w:r>
      <w:r>
        <w:rPr>
          <w:b w:val="0"/>
        </w:rPr>
        <w:t xml:space="preserve">Archives are locked with access limited to </w:t>
      </w:r>
      <w:r>
        <w:rPr>
          <w:b w:val="0"/>
          <w:highlight w:val="yellow"/>
        </w:rPr>
        <w:t>[ROLES]</w:t>
      </w:r>
      <w:r>
        <w:rPr>
          <w:b w:val="0"/>
        </w:rPr>
        <w:t>. An off-site vendor signs for each transmittal and holds a BAA where PHI is stored (5.1.2). Electronic archives are kept readable, encrypted and in two locations; at the annual restore test the Regulatory Coordinator opens a sample of archived files.</w:t>
      </w:r>
    </w:p>
    <w:p>
      <w:pPr>
        <w:tabs>
          <w:tab w:pos="648" w:val="left"/>
        </w:tabs>
        <w:ind w:left="648" w:hanging="648"/>
      </w:pPr>
      <w:r>
        <w:rPr>
          <w:b/>
        </w:rPr>
        <w:t>5.10.3</w:t>
        <w:tab/>
      </w:r>
      <w:r>
        <w:rPr>
          <w:b w:val="0"/>
        </w:rPr>
        <w:t xml:space="preserve">Retrieval is logged on F-402-01. For FDA, on-site records are available </w:t>
      </w:r>
      <w:r>
        <w:rPr>
          <w:b w:val="0"/>
          <w:highlight w:val="green"/>
        </w:rPr>
        <w:t>[DEFAULT: the same business day]</w:t>
      </w:r>
      <w:r>
        <w:rPr>
          <w:b w:val="0"/>
        </w:rPr>
        <w:t xml:space="preserve"> and off-site records </w:t>
      </w:r>
      <w:r>
        <w:rPr>
          <w:b w:val="0"/>
          <w:highlight w:val="green"/>
        </w:rPr>
        <w:t>[DEFAULT: within 2 business days]</w:t>
      </w:r>
      <w:r>
        <w:rPr>
          <w:b w:val="0"/>
        </w:rPr>
        <w:t>, requested the day an inspection is announced (SOP-13).</w:t>
      </w:r>
    </w:p>
    <w:p>
      <w:pPr>
        <w:tabs>
          <w:tab w:pos="648" w:val="left"/>
        </w:tabs>
        <w:ind w:left="648" w:hanging="648"/>
      </w:pPr>
      <w:r>
        <w:rPr>
          <w:b/>
        </w:rPr>
        <w:t>5.10.4</w:t>
        <w:tab/>
      </w:r>
      <w:r>
        <w:rPr>
          <w:b w:val="0"/>
        </w:rPr>
        <w:t>When the PI leaves, the Site Director names the custodian and the Regulatory Coordinator informs each sponsor; for IDE studies FDA is notified within 10 working days of a custody transfer (21 CFR 812.140(e)). If the site closes or is sold, a written custody agreement with storage funding comes first (SOP-16).</w:t>
      </w:r>
    </w:p>
    <w:p>
      <w:pPr>
        <w:tabs>
          <w:tab w:pos="648" w:val="left"/>
        </w:tabs>
        <w:ind w:left="648" w:hanging="648"/>
      </w:pPr>
      <w:r>
        <w:rPr>
          <w:b/>
        </w:rPr>
        <w:t>5.10.5</w:t>
        <w:tab/>
      </w:r>
      <w:r>
        <w:rPr>
          <w:b w:val="0"/>
        </w:rPr>
        <w:t xml:space="preserve">No record is destroyed until its retention end date has passed, the sponsor has confirmed in writing, no hold applies, and the Site Director approves on F-402-01. Without a sponsor reply, nothing is destroyed; the Regulatory Coordinator sends </w:t>
      </w:r>
      <w:r>
        <w:rPr>
          <w:b w:val="0"/>
          <w:highlight w:val="green"/>
        </w:rPr>
        <w:t>[DEFAULT: two follow-up notices 90 days apart]</w:t>
      </w:r>
      <w:r>
        <w:rPr>
          <w:b w:val="0"/>
        </w:rPr>
        <w:t xml:space="preserve"> and the Site Director decides on storage or return.</w:t>
      </w:r>
    </w:p>
    <w:p>
      <w:pPr>
        <w:tabs>
          <w:tab w:pos="648" w:val="left"/>
        </w:tabs>
        <w:ind w:left="648" w:hanging="648"/>
      </w:pPr>
      <w:r>
        <w:rPr>
          <w:b/>
        </w:rPr>
        <w:t>5.10.6</w:t>
        <w:tab/>
      </w:r>
      <w:r>
        <w:rPr>
          <w:b w:val="0"/>
        </w:rPr>
        <w:t xml:space="preserve">Paper is shredded or pulped (a vendor holds the agreement in 5.10.2); media are sanitized under NIST SP 800-88. A second person witnesses destruction or checks the vendor certificate; where only one person is available, the Site Director signs the destruction list. The destruction record on F-402-01 is kept </w:t>
      </w:r>
      <w:r>
        <w:rPr>
          <w:b w:val="0"/>
          <w:highlight w:val="green"/>
        </w:rPr>
        <w:t>[DEFAULT: permanently]</w:t>
      </w:r>
      <w:r>
        <w:rPr>
          <w:b w:val="0"/>
        </w:rPr>
        <w:t>.</w:t>
      </w:r>
    </w:p>
    <w:p>
      <w:pPr>
        <w:tabs>
          <w:tab w:pos="648" w:val="left"/>
        </w:tabs>
        <w:ind w:left="648" w:hanging="648"/>
      </w:pPr>
      <w:r>
        <w:rPr>
          <w:b/>
        </w:rPr>
        <w:t>5.10.7</w:t>
        <w:tab/>
      </w:r>
      <w:r>
        <w:rPr>
          <w:b w:val="0"/>
        </w:rPr>
        <w:t>On notice of litigation, a government investigation or for-cause FDA action, the Site Director issues a written legal hold until released in writing. For sponsor audits and routine inspections, the Regulatory Coordinator flags the records "do not destroy until closed" on F-402-01.</w:t>
      </w:r>
    </w:p>
    <w:p>
      <w:pPr>
        <w:pStyle w:val="Heading1"/>
      </w:pPr>
      <w:r>
        <w:t>6. Related Forms and SOPs</w:t>
      </w:r>
    </w:p>
    <w:p>
      <w:pPr>
        <w:pStyle w:val="ListBullet"/>
        <w:spacing w:after="40"/>
        <w:ind w:left="360" w:hanging="259"/>
      </w:pPr>
      <w:r>
        <w:rPr>
          <w:b w:val="0"/>
        </w:rPr>
        <w:t>F-400-01 Privacy Incident Report</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F-501-01 SAE Reporting Tracker</w:t>
      </w:r>
    </w:p>
    <w:p>
      <w:pPr>
        <w:pStyle w:val="ListBullet"/>
        <w:spacing w:after="40"/>
        <w:ind w:left="360" w:hanging="259"/>
      </w:pPr>
      <w:r>
        <w:rPr>
          <w:b w:val="0"/>
        </w:rPr>
        <w:t>F-309-01 Participant Contact and Retention Log</w:t>
      </w:r>
    </w:p>
    <w:p>
      <w:pPr>
        <w:pStyle w:val="ListBullet"/>
        <w:spacing w:after="40"/>
        <w:ind w:left="360" w:hanging="259"/>
      </w:pPr>
      <w:r>
        <w:rPr>
          <w:b w:val="0"/>
        </w:rPr>
        <w:t>F-600-01 Monitoring Visit Log</w:t>
      </w:r>
    </w:p>
    <w:p>
      <w:pPr>
        <w:pStyle w:val="ListBullet"/>
        <w:spacing w:after="40"/>
        <w:ind w:left="360" w:hanging="259"/>
      </w:pPr>
      <w:r>
        <w:rPr>
          <w:b w:val="0"/>
        </w:rPr>
        <w:t>F-601-01 Study Closeout Checklist</w:t>
      </w:r>
    </w:p>
    <w:p>
      <w:pPr>
        <w:pStyle w:val="ListBullet"/>
        <w:spacing w:after="40"/>
        <w:ind w:left="360" w:hanging="259"/>
      </w:pPr>
      <w:r>
        <w:rPr>
          <w:b w:val="0"/>
        </w:rPr>
        <w:t>F-204-01 Investigator Site File Index</w:t>
      </w:r>
    </w:p>
    <w:p>
      <w:pPr>
        <w:pStyle w:val="ListBullet"/>
        <w:spacing w:after="40"/>
        <w:ind w:left="360" w:hanging="259"/>
      </w:pPr>
      <w:r>
        <w:rPr>
          <w:b w:val="0"/>
        </w:rPr>
        <w:t>F-103-01 Staff Training Log</w:t>
      </w:r>
    </w:p>
    <w:p>
      <w:pPr>
        <w:pStyle w:val="ListBullet"/>
        <w:spacing w:after="40"/>
        <w:ind w:left="360" w:hanging="259"/>
      </w:pPr>
      <w:r>
        <w:rPr>
          <w:b w:val="0"/>
        </w:rPr>
        <w:t>F-302-01 Delegation of Authority Log</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SOP-16 Business Continuity and PI Coverage</w:t>
      </w:r>
    </w:p>
    <w:p>
      <w:pPr>
        <w:pStyle w:val="ListBullet"/>
        <w:spacing w:after="40"/>
        <w:ind w:left="360" w:hanging="259"/>
      </w:pPr>
      <w:r>
        <w:rPr>
          <w:b w:val="0"/>
        </w:rPr>
        <w:t>SOP-M1 Service Providers and Vendors, if adopted</w:t>
      </w:r>
    </w:p>
    <w:p>
      <w:pPr>
        <w:pStyle w:val="ListBullet"/>
        <w:spacing w:after="40"/>
        <w:ind w:left="360" w:hanging="259"/>
      </w:pPr>
      <w:r>
        <w:rPr>
          <w:b w:val="0"/>
        </w:rPr>
        <w:t>SOP-M4 Decentralized Trial Elements, if adopted</w:t>
      </w:r>
    </w:p>
    <w:p>
      <w:pPr>
        <w:pStyle w:val="ListBullet"/>
        <w:spacing w:after="40"/>
        <w:ind w:left="360" w:hanging="259"/>
      </w:pPr>
      <w:r>
        <w:rPr>
          <w:b w:val="0"/>
        </w:rPr>
        <w:t>Appendix A State Law Worksheet</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45 CFR 160 and 164</w:t>
            </w:r>
          </w:p>
        </w:tc>
        <w:tc>
          <w:tcPr>
            <w:tcW w:type="dxa" w:w="6946"/>
          </w:tcPr>
          <w:p>
            <w:pPr>
              <w:spacing w:after="0"/>
            </w:pPr>
            <w:r>
              <w:rPr>
                <w:b w:val="0"/>
                <w:sz w:val="19"/>
              </w:rPr>
              <w:t>HIPAA Privacy, Security and Breach Notification Rules</w:t>
            </w:r>
          </w:p>
        </w:tc>
      </w:tr>
      <w:tr>
        <w:trPr>
          <w:cantSplit w:val="true"/>
        </w:trPr>
        <w:tc>
          <w:tcPr>
            <w:tcW w:type="dxa" w:w="2701"/>
          </w:tcPr>
          <w:p>
            <w:pPr>
              <w:spacing w:after="0"/>
            </w:pPr>
            <w:r>
              <w:rPr>
                <w:b w:val="0"/>
                <w:sz w:val="19"/>
              </w:rPr>
              <w:t>45 CFR 164.508; 164.512(i); 164.514; 164.528</w:t>
            </w:r>
          </w:p>
        </w:tc>
        <w:tc>
          <w:tcPr>
            <w:tcW w:type="dxa" w:w="6946"/>
          </w:tcPr>
          <w:p>
            <w:pPr>
              <w:spacing w:after="0"/>
            </w:pPr>
            <w:r>
              <w:rPr>
                <w:b w:val="0"/>
                <w:sz w:val="19"/>
              </w:rPr>
              <w:t>Authorization; research uses; de-identification and limited data sets; accounting of disclosures</w:t>
            </w:r>
          </w:p>
        </w:tc>
      </w:tr>
      <w:tr>
        <w:trPr>
          <w:cantSplit w:val="true"/>
        </w:trPr>
        <w:tc>
          <w:tcPr>
            <w:tcW w:type="dxa" w:w="2701"/>
          </w:tcPr>
          <w:p>
            <w:pPr>
              <w:spacing w:after="0"/>
            </w:pPr>
            <w:r>
              <w:rPr>
                <w:b w:val="0"/>
                <w:sz w:val="19"/>
              </w:rPr>
              <w:t>45 CFR 164.400 to 164.414</w:t>
            </w:r>
          </w:p>
        </w:tc>
        <w:tc>
          <w:tcPr>
            <w:tcW w:type="dxa" w:w="6946"/>
          </w:tcPr>
          <w:p>
            <w:pPr>
              <w:spacing w:after="0"/>
            </w:pPr>
            <w:r>
              <w:rPr>
                <w:b w:val="0"/>
                <w:sz w:val="19"/>
              </w:rPr>
              <w:t>Breach notification</w:t>
            </w:r>
          </w:p>
        </w:tc>
      </w:tr>
      <w:tr>
        <w:trPr>
          <w:cantSplit w:val="true"/>
        </w:trPr>
        <w:tc>
          <w:tcPr>
            <w:tcW w:type="dxa" w:w="2701"/>
          </w:tcPr>
          <w:p>
            <w:pPr>
              <w:spacing w:after="0"/>
            </w:pPr>
            <w:r>
              <w:rPr>
                <w:b w:val="0"/>
                <w:sz w:val="19"/>
              </w:rPr>
              <w:t>45 CFR 164.308(a)(1); 164.530(b), (d), (e), (j)</w:t>
            </w:r>
          </w:p>
        </w:tc>
        <w:tc>
          <w:tcPr>
            <w:tcW w:type="dxa" w:w="6946"/>
          </w:tcPr>
          <w:p>
            <w:pPr>
              <w:spacing w:after="0"/>
            </w:pPr>
            <w:r>
              <w:rPr>
                <w:b w:val="0"/>
                <w:sz w:val="19"/>
              </w:rPr>
              <w:t>Security risk analysis; training; complaints; sanctions; six-year documentation retention</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w:t>
            </w:r>
          </w:p>
        </w:tc>
      </w:tr>
      <w:tr>
        <w:trPr>
          <w:cantSplit w:val="true"/>
        </w:trPr>
        <w:tc>
          <w:tcPr>
            <w:tcW w:type="dxa" w:w="2701"/>
          </w:tcPr>
          <w:p>
            <w:pPr>
              <w:spacing w:after="0"/>
            </w:pPr>
            <w:r>
              <w:rPr>
                <w:b w:val="0"/>
                <w:sz w:val="19"/>
              </w:rPr>
              <w:t>21 CFR Part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312.62(c); 312.68</w:t>
            </w:r>
          </w:p>
        </w:tc>
        <w:tc>
          <w:tcPr>
            <w:tcW w:type="dxa" w:w="6946"/>
          </w:tcPr>
          <w:p>
            <w:pPr>
              <w:spacing w:after="0"/>
            </w:pPr>
            <w:r>
              <w:rPr>
                <w:b w:val="0"/>
                <w:sz w:val="19"/>
              </w:rPr>
              <w:t>IND record retention; inspection</w:t>
            </w:r>
          </w:p>
        </w:tc>
      </w:tr>
      <w:tr>
        <w:trPr>
          <w:cantSplit w:val="true"/>
        </w:trPr>
        <w:tc>
          <w:tcPr>
            <w:tcW w:type="dxa" w:w="2701"/>
          </w:tcPr>
          <w:p>
            <w:pPr>
              <w:spacing w:after="0"/>
            </w:pPr>
            <w:r>
              <w:rPr>
                <w:b w:val="0"/>
                <w:sz w:val="19"/>
              </w:rPr>
              <w:t>21 CFR 812.140(d), (e); 812.145</w:t>
            </w:r>
          </w:p>
        </w:tc>
        <w:tc>
          <w:tcPr>
            <w:tcW w:type="dxa" w:w="6946"/>
          </w:tcPr>
          <w:p>
            <w:pPr>
              <w:spacing w:after="0"/>
            </w:pPr>
            <w:r>
              <w:rPr>
                <w:b w:val="0"/>
                <w:sz w:val="19"/>
              </w:rPr>
              <w:t>IDE record retention and custody; inspection</w:t>
            </w:r>
          </w:p>
        </w:tc>
      </w:tr>
      <w:tr>
        <w:trPr>
          <w:cantSplit w:val="true"/>
        </w:trPr>
        <w:tc>
          <w:tcPr>
            <w:tcW w:type="dxa" w:w="2701"/>
          </w:tcPr>
          <w:p>
            <w:pPr>
              <w:spacing w:after="0"/>
            </w:pPr>
            <w:r>
              <w:rPr>
                <w:b w:val="0"/>
                <w:sz w:val="19"/>
              </w:rPr>
              <w:t>21 CFR 1304.04</w:t>
            </w:r>
          </w:p>
        </w:tc>
        <w:tc>
          <w:tcPr>
            <w:tcW w:type="dxa" w:w="6946"/>
          </w:tcPr>
          <w:p>
            <w:pPr>
              <w:spacing w:after="0"/>
            </w:pPr>
            <w:r>
              <w:rPr>
                <w:b w:val="0"/>
                <w:sz w:val="19"/>
              </w:rPr>
              <w:t>Controlled substance records</w:t>
            </w:r>
          </w:p>
        </w:tc>
      </w:tr>
      <w:tr>
        <w:trPr>
          <w:cantSplit w:val="true"/>
        </w:trPr>
        <w:tc>
          <w:tcPr>
            <w:tcW w:type="dxa" w:w="2701"/>
          </w:tcPr>
          <w:p>
            <w:pPr>
              <w:spacing w:after="0"/>
            </w:pPr>
            <w:r>
              <w:rPr>
                <w:b w:val="0"/>
                <w:sz w:val="19"/>
              </w:rPr>
              <w:t>ICH E6(R3) Annex 1, 2.12; section 4</w:t>
            </w:r>
          </w:p>
        </w:tc>
        <w:tc>
          <w:tcPr>
            <w:tcW w:type="dxa" w:w="6946"/>
          </w:tcPr>
          <w:p>
            <w:pPr>
              <w:spacing w:after="0"/>
            </w:pPr>
            <w:r>
              <w:rPr>
                <w:b w:val="0"/>
                <w:sz w:val="19"/>
              </w:rPr>
              <w:t>Records; Data Governance and Computerised Systems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NIST SP 800-88 (current revision)</w:t>
            </w:r>
          </w:p>
        </w:tc>
        <w:tc>
          <w:tcPr>
            <w:tcW w:type="dxa" w:w="6946"/>
          </w:tcPr>
          <w:p>
            <w:pPr>
              <w:spacing w:after="0"/>
            </w:pPr>
            <w:r>
              <w:rPr>
                <w:b w:val="0"/>
                <w:sz w:val="19"/>
              </w:rPr>
              <w:t>Guidelines for Media Sanitization</w:t>
            </w:r>
          </w:p>
        </w:tc>
      </w:tr>
      <w:tr>
        <w:trPr>
          <w:cantSplit w:val="true"/>
        </w:trPr>
        <w:tc>
          <w:tcPr>
            <w:tcW w:type="dxa" w:w="2701"/>
          </w:tcPr>
          <w:p>
            <w:pPr>
              <w:spacing w:after="0"/>
            </w:pPr>
            <w:r>
              <w:rPr>
                <w:b w:val="0"/>
                <w:sz w:val="19"/>
              </w:rPr>
              <w:t>Reference Edition SOP-400, SOP-401, SOP-402</w:t>
            </w:r>
          </w:p>
        </w:tc>
        <w:tc>
          <w:tcPr>
            <w:tcW w:type="dxa" w:w="6946"/>
          </w:tcPr>
          <w:p>
            <w:pPr>
              <w:spacing w:after="0"/>
            </w:pPr>
            <w:r>
              <w:rPr>
                <w:b w:val="0"/>
                <w:sz w:val="19"/>
              </w:rPr>
              <w:t>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SOP-12 Privacy, Electronic Systems and Record Retention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SOP-12 Privacy, Electronic Systems and Record Retention</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