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SOP-11</w:t>
      </w:r>
    </w:p>
    <w:p>
      <w:pPr>
        <w:pStyle w:val="Title"/>
        <w:pBdr>
          <w:bottom w:val="single" w:sz="12" w:space="1" w:color="1F3864"/>
        </w:pBdr>
        <w:spacing w:after="120"/>
      </w:pPr>
      <w:r>
        <w:rPr>
          <w:b w:val="0"/>
          <w:color w:val="1F3864"/>
          <w:sz w:val="36"/>
        </w:rPr>
        <w:t>Specimens, Equipment and Laboratories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highlight w:val="yellow"/>
        </w:rPr>
        <w:t>[SITE NAME]</w:t>
      </w:r>
      <w:r>
        <w:rPr>
          <w:b w:val="0"/>
        </w:rPr>
        <w:t xml:space="preserve"> uses this SOP to collect, label, process, store and ship biological specimens so each reaches the laboratory identifiable, intact and within its stability window under DOT and IATA rules; to keep trial equipment calibrated and fit for use; and to meet CLIA requirements for on-site testing and document the laboratories used in each trial.</w:t>
      </w:r>
    </w:p>
    <w:p>
      <w:pPr>
        <w:pStyle w:val="Heading1"/>
      </w:pPr>
      <w:r>
        <w:t>2. Scope</w:t>
      </w:r>
    </w:p>
    <w:p>
      <w:pPr/>
      <w:r>
        <w:rPr>
          <w:b w:val="0"/>
        </w:rPr>
        <w:t xml:space="preserve">All protocol-required specimens collected at any </w:t>
      </w:r>
      <w:r>
        <w:rPr>
          <w:b w:val="0"/>
          <w:highlight w:val="yellow"/>
        </w:rPr>
        <w:t>[SITE NAME]</w:t>
      </w:r>
      <w:r>
        <w:rPr>
          <w:b w:val="0"/>
        </w:rPr>
        <w:t xml:space="preserve"> location or by site staff on home visits, or received from a local provider for processing or forwarding; all equipment that generates trial data, affects participant safety, or stores investigational product (IP) or specimens, including sponsor-provided and participant-issued equipment; on-site testing; and central, local and specialty laboratories.</w:t>
      </w:r>
    </w:p>
    <w:p>
      <w:pPr/>
      <w:r>
        <w:rPr>
          <w:b w:val="0"/>
        </w:rPr>
        <w:t>Out of scope: IP shipment and the temperature monitoring and excursion rule (SOP-06), computerized systems (SOP-12), and specimens collected by sponsor home health vendors until they reach site custody (SOP-M4, if adopted). Follow the protocol, laboratory manual, sponsor, manufacturer or IRB requirement wherever it is stricter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Delegates specimen tasks on F-302-01. Assesses specimen deviations and out-of-tolerance equipment for effect on safety and eligibility. Holds the CLIA laboratory director role where named.</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space, equipment, freezer capacity and supplies. Holds or assigns the CLIA certificate and confirms test complexity. Engages calibration vendors.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Keeps F-312-01 and the shipper training matrix. Reviews certificates and impact assessments.</w:t>
            </w:r>
          </w:p>
        </w:tc>
      </w:tr>
      <w:tr>
        <w:trPr>
          <w:cantSplit w:val="true"/>
        </w:trPr>
        <w:tc>
          <w:tcPr>
            <w:tcW w:type="dxa" w:w="2701"/>
          </w:tcPr>
          <w:p>
            <w:pPr>
              <w:keepNext/>
              <w:spacing w:after="0"/>
            </w:pPr>
            <w:r>
              <w:rPr>
                <w:b w:val="0"/>
                <w:sz w:val="19"/>
              </w:rPr>
              <w:t>Clinical Research Coordinator (CRC) or Lead CRC</w:t>
            </w:r>
          </w:p>
        </w:tc>
        <w:tc>
          <w:tcPr>
            <w:tcW w:type="dxa" w:w="6946"/>
          </w:tcPr>
          <w:p>
            <w:pPr>
              <w:keepNext/>
              <w:spacing w:after="0"/>
            </w:pPr>
            <w:r>
              <w:rPr>
                <w:b w:val="0"/>
                <w:sz w:val="19"/>
              </w:rPr>
              <w:t>Owns specimen logistics for assigned studies (kits, requisitions, processing, storage, shipment, laboratory queries) and records shipments on F-311-01. Uses only in-date, labeled equipment and manages sponsor equipment.</w:t>
            </w:r>
          </w:p>
        </w:tc>
      </w:tr>
      <w:tr>
        <w:trPr>
          <w:cantSplit w:val="true"/>
        </w:trPr>
        <w:tc>
          <w:tcPr>
            <w:tcW w:type="dxa" w:w="2701"/>
          </w:tcPr>
          <w:p>
            <w:pPr>
              <w:keepNext/>
              <w:spacing w:after="0"/>
            </w:pPr>
            <w:r>
              <w:rPr>
                <w:b w:val="0"/>
                <w:sz w:val="19"/>
              </w:rPr>
              <w:t>Trained Shipper (any role)</w:t>
            </w:r>
          </w:p>
        </w:tc>
        <w:tc>
          <w:tcPr>
            <w:tcW w:type="dxa" w:w="6946"/>
          </w:tcPr>
          <w:p>
            <w:pPr>
              <w:keepNext/>
              <w:spacing w:after="0"/>
            </w:pPr>
            <w:r>
              <w:rPr>
                <w:b w:val="0"/>
                <w:sz w:val="19"/>
              </w:rPr>
              <w:t>Holds current DOT and IATA training; classifies, packs, marks, labels and signs for shipments.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laboratory manuals, laboratory certificates and normal ranges, CLIA certificates and calibration certificates where the sponsor asks.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Check the calibration label before use; do not use overdue, damaged or tagged equipment.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Laboratory manual</w:t>
            </w:r>
          </w:p>
        </w:tc>
        <w:tc>
          <w:tcPr>
            <w:tcW w:type="dxa" w:w="6946"/>
          </w:tcPr>
          <w:p>
            <w:pPr>
              <w:spacing w:after="0"/>
            </w:pPr>
            <w:r>
              <w:rPr>
                <w:b w:val="0"/>
                <w:sz w:val="19"/>
              </w:rPr>
              <w:t>The sponsor or central laboratory document setting tubes, volumes, processing, storage, labeling, requisitions and shipping for a study.</w:t>
            </w:r>
          </w:p>
        </w:tc>
      </w:tr>
      <w:tr>
        <w:trPr>
          <w:cantSplit w:val="true"/>
        </w:trPr>
        <w:tc>
          <w:tcPr>
            <w:tcW w:type="dxa" w:w="2701"/>
          </w:tcPr>
          <w:p>
            <w:pPr>
              <w:spacing w:after="0"/>
            </w:pPr>
            <w:r>
              <w:rPr>
                <w:b w:val="0"/>
                <w:sz w:val="19"/>
              </w:rPr>
              <w:t>Biological Substance, Category B (UN3373)</w:t>
            </w:r>
          </w:p>
        </w:tc>
        <w:tc>
          <w:tcPr>
            <w:tcW w:type="dxa" w:w="6946"/>
          </w:tcPr>
          <w:p>
            <w:pPr>
              <w:spacing w:after="0"/>
            </w:pPr>
            <w:r>
              <w:rPr>
                <w:b w:val="0"/>
                <w:sz w:val="19"/>
              </w:rPr>
              <w:t>An infectious substance not in a form generally capable of causing permanent disability or life-threatening disease in healthy humans or animals; most non-exempt trial specimens.</w:t>
            </w:r>
          </w:p>
        </w:tc>
      </w:tr>
      <w:tr>
        <w:trPr>
          <w:cantSplit w:val="true"/>
        </w:trPr>
        <w:tc>
          <w:tcPr>
            <w:tcW w:type="dxa" w:w="2701"/>
          </w:tcPr>
          <w:p>
            <w:pPr>
              <w:spacing w:after="0"/>
            </w:pPr>
            <w:r>
              <w:rPr>
                <w:b w:val="0"/>
                <w:sz w:val="19"/>
              </w:rPr>
              <w:t>Exempt human specimen</w:t>
            </w:r>
          </w:p>
        </w:tc>
        <w:tc>
          <w:tcPr>
            <w:tcW w:type="dxa" w:w="6946"/>
          </w:tcPr>
          <w:p>
            <w:pPr>
              <w:spacing w:after="0"/>
            </w:pPr>
            <w:r>
              <w:rPr>
                <w:b w:val="0"/>
                <w:sz w:val="19"/>
              </w:rPr>
              <w:t>A specimen with minimal likelihood of pathogens, shipped in packaging meeting exempt-specimen requirements.</w:t>
            </w:r>
          </w:p>
        </w:tc>
      </w:tr>
      <w:tr>
        <w:trPr>
          <w:cantSplit w:val="true"/>
        </w:trPr>
        <w:tc>
          <w:tcPr>
            <w:tcW w:type="dxa" w:w="2701"/>
          </w:tcPr>
          <w:p>
            <w:pPr>
              <w:spacing w:after="0"/>
            </w:pPr>
            <w:r>
              <w:rPr>
                <w:b w:val="0"/>
                <w:sz w:val="19"/>
              </w:rPr>
              <w:t>Dry ice (UN1845)</w:t>
            </w:r>
          </w:p>
        </w:tc>
        <w:tc>
          <w:tcPr>
            <w:tcW w:type="dxa" w:w="6946"/>
          </w:tcPr>
          <w:p>
            <w:pPr>
              <w:spacing w:after="0"/>
            </w:pPr>
            <w:r>
              <w:rPr>
                <w:b w:val="0"/>
                <w:sz w:val="19"/>
              </w:rPr>
              <w:t>Solid carbon dioxide used as a refrigerant; a Class 9 dangerous good by air.</w:t>
            </w:r>
          </w:p>
        </w:tc>
      </w:tr>
      <w:tr>
        <w:trPr>
          <w:cantSplit w:val="true"/>
        </w:trPr>
        <w:tc>
          <w:tcPr>
            <w:tcW w:type="dxa" w:w="2701"/>
          </w:tcPr>
          <w:p>
            <w:pPr>
              <w:spacing w:after="0"/>
            </w:pPr>
            <w:r>
              <w:rPr>
                <w:b w:val="0"/>
                <w:sz w:val="19"/>
              </w:rPr>
              <w:t>Specimen deviation</w:t>
            </w:r>
          </w:p>
        </w:tc>
        <w:tc>
          <w:tcPr>
            <w:tcW w:type="dxa" w:w="6946"/>
          </w:tcPr>
          <w:p>
            <w:pPr>
              <w:spacing w:after="0"/>
            </w:pPr>
            <w:r>
              <w:rPr>
                <w:b w:val="0"/>
                <w:sz w:val="19"/>
              </w:rPr>
              <w:t>Any departure from the laboratory manual or protocol in collection, processing, storage or shipment.</w:t>
            </w:r>
          </w:p>
        </w:tc>
      </w:tr>
      <w:tr>
        <w:trPr>
          <w:cantSplit w:val="true"/>
        </w:trPr>
        <w:tc>
          <w:tcPr>
            <w:tcW w:type="dxa" w:w="2701"/>
          </w:tcPr>
          <w:p>
            <w:pPr>
              <w:spacing w:after="0"/>
            </w:pPr>
            <w:r>
              <w:rPr>
                <w:b w:val="0"/>
                <w:sz w:val="19"/>
              </w:rPr>
              <w:t>Calibration</w:t>
            </w:r>
          </w:p>
        </w:tc>
        <w:tc>
          <w:tcPr>
            <w:tcW w:type="dxa" w:w="6946"/>
          </w:tcPr>
          <w:p>
            <w:pPr>
              <w:spacing w:after="0"/>
            </w:pPr>
            <w:r>
              <w:rPr>
                <w:b w:val="0"/>
                <w:sz w:val="19"/>
              </w:rPr>
              <w:t>Comparison against a reference standard traceable to national standards (for example NIST), with adjustment where needed and a certificate.</w:t>
            </w:r>
          </w:p>
        </w:tc>
      </w:tr>
      <w:tr>
        <w:trPr>
          <w:cantSplit w:val="true"/>
        </w:trPr>
        <w:tc>
          <w:tcPr>
            <w:tcW w:type="dxa" w:w="2701"/>
          </w:tcPr>
          <w:p>
            <w:pPr>
              <w:spacing w:after="0"/>
            </w:pPr>
            <w:r>
              <w:rPr>
                <w:b w:val="0"/>
                <w:sz w:val="19"/>
              </w:rPr>
              <w:t>Out of tolerance (OOT)</w:t>
            </w:r>
          </w:p>
        </w:tc>
        <w:tc>
          <w:tcPr>
            <w:tcW w:type="dxa" w:w="6946"/>
          </w:tcPr>
          <w:p>
            <w:pPr>
              <w:spacing w:after="0"/>
            </w:pPr>
            <w:r>
              <w:rPr>
                <w:b w:val="0"/>
                <w:sz w:val="19"/>
              </w:rPr>
              <w:t>A calibration or check result outside the accepted tolerance.</w:t>
            </w:r>
          </w:p>
        </w:tc>
      </w:tr>
      <w:tr>
        <w:trPr>
          <w:cantSplit w:val="true"/>
        </w:trPr>
        <w:tc>
          <w:tcPr>
            <w:tcW w:type="dxa" w:w="2701"/>
          </w:tcPr>
          <w:p>
            <w:pPr>
              <w:spacing w:after="0"/>
            </w:pPr>
            <w:r>
              <w:rPr>
                <w:b w:val="0"/>
                <w:sz w:val="19"/>
              </w:rPr>
              <w:t>Impact assessment</w:t>
            </w:r>
          </w:p>
        </w:tc>
        <w:tc>
          <w:tcPr>
            <w:tcW w:type="dxa" w:w="6946"/>
          </w:tcPr>
          <w:p>
            <w:pPr>
              <w:spacing w:after="0"/>
            </w:pPr>
            <w:r>
              <w:rPr>
                <w:b w:val="0"/>
                <w:sz w:val="19"/>
              </w:rPr>
              <w:t>Documented review of data and safety affected by OOT equipment, back to the last acceptable calibration or check.</w:t>
            </w:r>
          </w:p>
        </w:tc>
      </w:tr>
      <w:tr>
        <w:trPr>
          <w:cantSplit w:val="true"/>
        </w:trPr>
        <w:tc>
          <w:tcPr>
            <w:tcW w:type="dxa" w:w="2701"/>
          </w:tcPr>
          <w:p>
            <w:pPr>
              <w:spacing w:after="0"/>
            </w:pPr>
            <w:r>
              <w:rPr>
                <w:b w:val="0"/>
                <w:sz w:val="19"/>
              </w:rPr>
              <w:t>CLIA</w:t>
            </w:r>
          </w:p>
        </w:tc>
        <w:tc>
          <w:tcPr>
            <w:tcW w:type="dxa" w:w="6946"/>
          </w:tcPr>
          <w:p>
            <w:pPr>
              <w:spacing w:after="0"/>
            </w:pPr>
            <w:r>
              <w:rPr>
                <w:b w:val="0"/>
                <w:sz w:val="19"/>
              </w:rPr>
              <w:t>Clinical Laboratory Improvement Amendments, 42 CFR 493, regulating testing of human specimens for health assessment, diagnosis, prevention or treatment.</w:t>
            </w:r>
          </w:p>
        </w:tc>
      </w:tr>
    </w:tbl>
    <w:p>
      <w:pPr>
        <w:spacing w:after="40"/>
      </w:pPr>
    </w:p>
    <w:p>
      <w:pPr>
        <w:pStyle w:val="Heading1"/>
      </w:pPr>
      <w:r>
        <w:t>5. Procedure</w:t>
      </w:r>
    </w:p>
    <w:p>
      <w:pPr>
        <w:pStyle w:val="Heading2"/>
      </w:pPr>
      <w:r>
        <w:t>5.1 Study setup for specimens</w:t>
      </w:r>
    </w:p>
    <w:p>
      <w:pPr>
        <w:tabs>
          <w:tab w:pos="648" w:val="left"/>
        </w:tabs>
        <w:ind w:left="648" w:hanging="648"/>
      </w:pPr>
      <w:r>
        <w:rPr>
          <w:b/>
        </w:rPr>
        <w:t>5.1.1</w:t>
        <w:tab/>
      </w:r>
      <w:r>
        <w:rPr>
          <w:b w:val="0"/>
        </w:rPr>
        <w:t>Before activation (SOP-03), the Lead CRC reads the laboratory manual and confirms the site has the required equipment under 5.7, refrigerant supply, courier accounts and pickup cut-off times (including weekend and holiday limits), trained shippers for every shipment type, and processing windows it can meet.</w:t>
      </w:r>
    </w:p>
    <w:p>
      <w:pPr>
        <w:tabs>
          <w:tab w:pos="648" w:val="left"/>
        </w:tabs>
        <w:ind w:left="648" w:hanging="648"/>
      </w:pPr>
      <w:r>
        <w:rPr>
          <w:b/>
        </w:rPr>
        <w:t>5.1.2</w:t>
        <w:tab/>
      </w:r>
      <w:r>
        <w:rPr>
          <w:b w:val="0"/>
        </w:rPr>
        <w:t>The Lead CRC prepares a one-page specimen summary (visit, tubes, processing, storage, shipping temperature, destination) tied to the manual version, re-checked when the manual changes.</w:t>
      </w:r>
    </w:p>
    <w:p>
      <w:pPr>
        <w:tabs>
          <w:tab w:pos="648" w:val="left"/>
        </w:tabs>
        <w:ind w:left="648" w:hanging="648"/>
      </w:pPr>
      <w:r>
        <w:rPr>
          <w:b/>
        </w:rPr>
        <w:t>5.1.3</w:t>
        <w:tab/>
      </w:r>
      <w:r>
        <w:rPr>
          <w:b w:val="0"/>
        </w:rPr>
        <w:t>The PI or Lead CRC delegates specimen tasks on F-302-01 only to staff trained on the laboratory manual and, for shipping, holding current shipper training.</w:t>
      </w:r>
    </w:p>
    <w:p>
      <w:pPr>
        <w:tabs>
          <w:tab w:pos="648" w:val="left"/>
        </w:tabs>
        <w:ind w:left="648" w:hanging="648"/>
      </w:pPr>
      <w:r>
        <w:rPr>
          <w:b/>
        </w:rPr>
        <w:t>5.1.4</w:t>
        <w:tab/>
      </w:r>
      <w:r>
        <w:rPr>
          <w:b w:val="0"/>
        </w:rPr>
        <w:t>The CRC checks kits on receipt against the packing list, stores them as the manual specifies by study, and checks expiry before each visit, reordering within the laboratory's lead time. Expired kits are labeled "EXPIRED: DO NOT USE" and removed. Components are not swapped between kits or studies without the laboratory's written permission, filed in the ISF.</w:t>
      </w:r>
    </w:p>
    <w:p>
      <w:pPr>
        <w:pStyle w:val="Heading2"/>
      </w:pPr>
      <w:r>
        <w:t>5.2 Collection, labeling and processing</w:t>
      </w:r>
    </w:p>
    <w:p>
      <w:pPr>
        <w:tabs>
          <w:tab w:pos="648" w:val="left"/>
        </w:tabs>
        <w:ind w:left="648" w:hanging="648"/>
      </w:pPr>
      <w:r>
        <w:rPr>
          <w:b/>
        </w:rPr>
        <w:t>5.2.1</w:t>
        <w:tab/>
      </w:r>
      <w:r>
        <w:rPr>
          <w:b w:val="0"/>
        </w:rPr>
        <w:t>Before collection, the CRC confirms the participant's identity with two identifiers, consent to each sample including optional samples (5.6), protocol conditions such as fasting or timing relative to dose, and the correct kit and requisition.</w:t>
      </w:r>
    </w:p>
    <w:p>
      <w:pPr>
        <w:tabs>
          <w:tab w:pos="648" w:val="left"/>
        </w:tabs>
        <w:ind w:left="648" w:hanging="648"/>
      </w:pPr>
      <w:r>
        <w:rPr>
          <w:b/>
        </w:rPr>
        <w:t>5.2.2</w:t>
        <w:tab/>
      </w:r>
      <w:r>
        <w:rPr>
          <w:b w:val="0"/>
        </w:rPr>
        <w:t>The collector labels each tube at the time of collection, in the participant's presence, with the laboratory label or the content the manual requires. Tubes are not pre-labeled unless the manual says so. Labels carry no name, date of birth or medical record number unless the manual requires it and the consent covers it.</w:t>
      </w:r>
    </w:p>
    <w:p>
      <w:pPr>
        <w:tabs>
          <w:tab w:pos="648" w:val="left"/>
        </w:tabs>
        <w:ind w:left="648" w:hanging="648"/>
      </w:pPr>
      <w:r>
        <w:rPr>
          <w:b/>
        </w:rPr>
        <w:t>5.2.3</w:t>
        <w:tab/>
      </w:r>
      <w:r>
        <w:rPr>
          <w:b w:val="0"/>
        </w:rPr>
        <w:t>The collector follows the manual for tubes, order of draw, fill and handling, and records in source the date and time (to the minute where a window depends on it), collector, specimen types and any problem.</w:t>
      </w:r>
    </w:p>
    <w:p>
      <w:pPr>
        <w:tabs>
          <w:tab w:pos="648" w:val="left"/>
        </w:tabs>
        <w:ind w:left="648" w:hanging="648"/>
      </w:pPr>
      <w:r>
        <w:rPr>
          <w:b/>
        </w:rPr>
        <w:t>5.2.4</w:t>
        <w:tab/>
      </w:r>
      <w:r>
        <w:rPr>
          <w:b w:val="0"/>
        </w:rPr>
        <w:t>The CRC processes specimens within the manual's time windows, records the times of each step on the processing worksheet or F-311-01, uses the specified centrifuge settings (with the conversion chart for the site's rotor where the manual gives g-force), and aliquots as specified, recording any short aliquot. Processing follows the site's bloodborne pathogens exposure control plan (29 CFR 1910.1030).</w:t>
      </w:r>
    </w:p>
    <w:p>
      <w:pPr>
        <w:tabs>
          <w:tab w:pos="648" w:val="left"/>
        </w:tabs>
        <w:ind w:left="648" w:hanging="648"/>
      </w:pPr>
      <w:r>
        <w:rPr>
          <w:b/>
        </w:rPr>
        <w:t>5.2.5</w:t>
        <w:tab/>
      </w:r>
      <w:r>
        <w:rPr>
          <w:b w:val="0"/>
        </w:rPr>
        <w:t>If a processing window is missed, the CRC does not discard the specimen without instruction, records the actual times, follows the manual or the laboratory's instruction, and records a specimen deviation.</w:t>
      </w:r>
    </w:p>
    <w:p>
      <w:pPr>
        <w:tabs>
          <w:tab w:pos="648" w:val="left"/>
        </w:tabs>
        <w:ind w:left="648" w:hanging="648"/>
      </w:pPr>
      <w:r>
        <w:rPr>
          <w:b/>
        </w:rPr>
        <w:t>5.2.6</w:t>
        <w:tab/>
      </w:r>
      <w:r>
        <w:rPr>
          <w:b w:val="0"/>
        </w:rPr>
        <w:t>Processed specimens are stored by study and visit at the specified temperature in equipment monitored under the temperature rule in SOP-06. A temperature excursion affecting specimens is recorded on F-304-03, the laboratory or sponsor is asked how the specimens may be used, and it is a specimen deviation. Batched specimens are listed on F-311-01 with location and storage date and shipped within the manual's stability period.</w:t>
      </w:r>
    </w:p>
    <w:p>
      <w:pPr>
        <w:tabs>
          <w:tab w:pos="648" w:val="left"/>
        </w:tabs>
        <w:ind w:left="648" w:hanging="648"/>
      </w:pPr>
      <w:r>
        <w:rPr>
          <w:b/>
        </w:rPr>
        <w:t>5.2.7</w:t>
        <w:tab/>
      </w:r>
      <w:r>
        <w:rPr>
          <w:b w:val="0"/>
        </w:rPr>
        <w:t>Specimens collected at a participant's home or by a home-health provider (SOP-M4, if adopted) follow 5.2.1 to 5.2.6. The collector carries them in the manual's transport conditions with a temperature indicator, records collection and hand-over times on the visit record or F-311-01, and delivers them to the CRC or courier within the processing window. A missed window or excursion is a specimen deviation.</w:t>
      </w:r>
    </w:p>
    <w:p>
      <w:pPr>
        <w:pStyle w:val="Heading2"/>
      </w:pPr>
      <w:r>
        <w:t>5.3 Shipper training</w:t>
      </w:r>
    </w:p>
    <w:p>
      <w:pPr>
        <w:tabs>
          <w:tab w:pos="648" w:val="left"/>
        </w:tabs>
        <w:ind w:left="648" w:hanging="648"/>
      </w:pPr>
      <w:r>
        <w:rPr>
          <w:b/>
        </w:rPr>
        <w:t>5.3.1</w:t>
        <w:tab/>
      </w:r>
      <w:r>
        <w:rPr>
          <w:b w:val="0"/>
        </w:rPr>
        <w:t>Only staff with current DOT and IATA training for the shipment type (the hazmat training rule in SOP-01) prepare, pack, mark, label or sign for shipments. The Quality Lead keeps a shipper training matrix showing each shipper's training dates and the shipment types they may handle, and the CRC checks it before assigning a shipment.</w:t>
      </w:r>
    </w:p>
    <w:p>
      <w:pPr>
        <w:pStyle w:val="Heading2"/>
      </w:pPr>
      <w:r>
        <w:t>5.4 Requisitions, packaging and shipment</w:t>
      </w:r>
    </w:p>
    <w:p>
      <w:pPr>
        <w:tabs>
          <w:tab w:pos="648" w:val="left"/>
        </w:tabs>
        <w:ind w:left="648" w:hanging="648"/>
      </w:pPr>
      <w:r>
        <w:rPr>
          <w:b/>
        </w:rPr>
        <w:t>5.4.1</w:t>
        <w:tab/>
      </w:r>
      <w:r>
        <w:rPr>
          <w:b w:val="0"/>
        </w:rPr>
        <w:t>The CRC completes each requisition exactly as the manual specifies, with no identifiers beyond what it requires, and keeps a copy or system confirmation in the specimen file. The CRC does not ship on a day when the specimen cannot reach the laboratory within its stability window (for example frozen shipments late in the week or before a holiday) unless the manual permits it.</w:t>
      </w:r>
    </w:p>
    <w:p>
      <w:pPr>
        <w:tabs>
          <w:tab w:pos="648" w:val="left"/>
        </w:tabs>
        <w:ind w:left="648" w:hanging="648"/>
      </w:pPr>
      <w:r>
        <w:rPr>
          <w:b/>
        </w:rPr>
        <w:t>5.4.2</w:t>
        <w:tab/>
      </w:r>
      <w:r>
        <w:rPr>
          <w:b w:val="0"/>
        </w:rPr>
        <w:t>The Trained Shipper classifies each shipment: UN3373 Category B for most non-exempt specimens; exempt human specimen only where the manual or the shipper's documented judgment supports minimal likelihood of pathogens; dry ice (UN1845) added where used. Category A material is not shipped unless the protocol requires it and the shipper holds Category A training; the shipper escalates it to the Site Director.</w:t>
      </w:r>
    </w:p>
    <w:p>
      <w:pPr>
        <w:tabs>
          <w:tab w:pos="648" w:val="left"/>
        </w:tabs>
        <w:ind w:left="648" w:hanging="648"/>
      </w:pPr>
      <w:r>
        <w:rPr>
          <w:b/>
        </w:rPr>
        <w:t>5.4.3</w:t>
        <w:tab/>
      </w:r>
      <w:r>
        <w:rPr>
          <w:b w:val="0"/>
        </w:rPr>
        <w:t>The Trained Shipper uses triple packaging (leak-proof primary, leak-proof secondary with absorbent for the full liquid volume, rigid outer) with an itemized contents list between secondary and outer packaging, and only the study's supplied or approved packaging, labels and airbills. Old markings on reused boxes are removed or covered.</w:t>
      </w:r>
    </w:p>
    <w:p>
      <w:pPr>
        <w:tabs>
          <w:tab w:pos="648" w:val="left"/>
        </w:tabs>
        <w:ind w:left="648" w:hanging="648"/>
      </w:pPr>
      <w:r>
        <w:rPr>
          <w:b/>
        </w:rPr>
        <w:t>5.4.4</w:t>
        <w:tab/>
      </w:r>
      <w:r>
        <w:rPr>
          <w:b w:val="0"/>
        </w:rPr>
        <w:t>UN3373 packages carry the UN3373 diamond, the words "Biological Substance, Category B" and a responsible person's name and phone number. Dry ice goes outside the secondary packaging in outer packaging that vents gas; the package carries the Class 9 label, "UN1845, Dry ice" with net weight in kilograms, and shipper and consignee details, and the shipper completes any courier dangerous goods section. Exempt specimens are marked "Exempt human specimen".</w:t>
      </w:r>
    </w:p>
    <w:p>
      <w:pPr>
        <w:tabs>
          <w:tab w:pos="648" w:val="left"/>
        </w:tabs>
        <w:ind w:left="648" w:hanging="648"/>
      </w:pPr>
      <w:r>
        <w:rPr>
          <w:b/>
        </w:rPr>
        <w:t>5.4.5</w:t>
        <w:tab/>
      </w:r>
      <w:r>
        <w:rPr>
          <w:b w:val="0"/>
        </w:rPr>
        <w:t xml:space="preserve">Before sealing, a second trained person checks contents against F-311-01 and the requisitions </w:t>
      </w:r>
      <w:r>
        <w:rPr>
          <w:b w:val="0"/>
          <w:highlight w:val="green"/>
        </w:rPr>
        <w:t>[DEFAULT: for frozen and dry ice shipments; where no second trained person is available, the shipper re-checks against a printed checklist and records that on F-311-01]</w:t>
      </w:r>
      <w:r>
        <w:rPr>
          <w:b w:val="0"/>
        </w:rPr>
        <w:t>.</w:t>
      </w:r>
    </w:p>
    <w:p>
      <w:pPr>
        <w:tabs>
          <w:tab w:pos="648" w:val="left"/>
        </w:tabs>
        <w:ind w:left="648" w:hanging="648"/>
      </w:pPr>
      <w:r>
        <w:rPr>
          <w:b/>
        </w:rPr>
        <w:t>5.4.6</w:t>
        <w:tab/>
      </w:r>
      <w:r>
        <w:rPr>
          <w:b w:val="0"/>
        </w:rPr>
        <w:t>The CRC records each shipment on F-311-01: study, participant IDs and visits, specimen types and counts, temperature, dry ice weight, carrier and tracking number, pickup date and time, shipper, and laboratory receipt date.</w:t>
      </w:r>
    </w:p>
    <w:p>
      <w:pPr>
        <w:pStyle w:val="Heading2"/>
      </w:pPr>
      <w:r>
        <w:t>5.5 Tracking and specimen deviations</w:t>
      </w:r>
    </w:p>
    <w:p>
      <w:pPr>
        <w:tabs>
          <w:tab w:pos="648" w:val="left"/>
        </w:tabs>
        <w:ind w:left="648" w:hanging="648"/>
      </w:pPr>
      <w:r>
        <w:rPr>
          <w:b/>
        </w:rPr>
        <w:t>5.5.1</w:t>
        <w:tab/>
      </w:r>
      <w:r>
        <w:rPr>
          <w:b w:val="0"/>
        </w:rPr>
        <w:t xml:space="preserve">The CRC tracks each shipment until the laboratory confirms receipt and contacts the courier and laboratory if delivery is not confirmed </w:t>
      </w:r>
      <w:r>
        <w:rPr>
          <w:b w:val="0"/>
          <w:highlight w:val="green"/>
        </w:rPr>
        <w:t>[DEFAULT: by the next business day after expected delivery]</w:t>
      </w:r>
      <w:r>
        <w:rPr>
          <w:b w:val="0"/>
        </w:rPr>
        <w:t>.</w:t>
      </w:r>
    </w:p>
    <w:p>
      <w:pPr>
        <w:tabs>
          <w:tab w:pos="648" w:val="left"/>
        </w:tabs>
        <w:ind w:left="648" w:hanging="648"/>
      </w:pPr>
      <w:r>
        <w:rPr>
          <w:b/>
        </w:rPr>
        <w:t>5.5.2</w:t>
        <w:tab/>
      </w:r>
      <w:r>
        <w:rPr>
          <w:b w:val="0"/>
        </w:rPr>
        <w:t xml:space="preserve">The CRC answers laboratory problem reports and queries within the sponsor's timeline. Lost specimens and significant temperature failures are reported to the sponsor </w:t>
      </w:r>
      <w:r>
        <w:rPr>
          <w:b w:val="0"/>
          <w:highlight w:val="green"/>
        </w:rPr>
        <w:t>[DEFAULT: within 1 business day of discovery]</w:t>
      </w:r>
      <w:r>
        <w:rPr>
          <w:b w:val="0"/>
        </w:rPr>
        <w:t>, or sooner where the manual or sponsor requires.</w:t>
      </w:r>
    </w:p>
    <w:p>
      <w:pPr>
        <w:tabs>
          <w:tab w:pos="648" w:val="left"/>
        </w:tabs>
        <w:ind w:left="648" w:hanging="648"/>
      </w:pPr>
      <w:r>
        <w:rPr>
          <w:b/>
        </w:rPr>
        <w:t>5.5.3</w:t>
        <w:tab/>
      </w:r>
      <w:r>
        <w:rPr>
          <w:b w:val="0"/>
        </w:rPr>
        <w:t>Every specimen deviation is recorded and assessed under SOP-08. The PI decides whether a repeat collection is needed for safety or eligibility; it is done only if the protocol or sponsor permits and the participant agrees.</w:t>
      </w:r>
    </w:p>
    <w:p>
      <w:pPr>
        <w:pStyle w:val="Heading2"/>
      </w:pPr>
      <w:r>
        <w:t>5.6 Consent-limited specimens</w:t>
      </w:r>
    </w:p>
    <w:p>
      <w:pPr>
        <w:tabs>
          <w:tab w:pos="648" w:val="left"/>
        </w:tabs>
        <w:ind w:left="648" w:hanging="648"/>
      </w:pPr>
      <w:r>
        <w:rPr>
          <w:b/>
        </w:rPr>
        <w:t>5.6.1</w:t>
        <w:tab/>
      </w:r>
      <w:r>
        <w:rPr>
          <w:b w:val="0"/>
        </w:rPr>
        <w:t>Before collecting any optional, future-use or genetic specimen, the CRC checks the signed consent and records the participant's choice in source. A declined specimen is not collected. One collected in error is not shipped; it is recorded as a deviation and the sponsor is asked for destruction instructions. If already shipped, the CRC notifies the sponsor in writing and asks for documented destruction.</w:t>
      </w:r>
    </w:p>
    <w:p>
      <w:pPr>
        <w:tabs>
          <w:tab w:pos="648" w:val="left"/>
        </w:tabs>
        <w:ind w:left="648" w:hanging="648"/>
      </w:pPr>
      <w:r>
        <w:rPr>
          <w:b/>
        </w:rPr>
        <w:t>5.6.2</w:t>
        <w:tab/>
      </w:r>
      <w:r>
        <w:rPr>
          <w:b w:val="0"/>
        </w:rPr>
        <w:t xml:space="preserve">If a participant withdraws consent for future use or genetic research, the CRC notifies the sponsor in writing </w:t>
      </w:r>
      <w:r>
        <w:rPr>
          <w:b w:val="0"/>
          <w:highlight w:val="green"/>
        </w:rPr>
        <w:t>[DEFAULT: within 5 business days]</w:t>
      </w:r>
      <w:r>
        <w:rPr>
          <w:b w:val="0"/>
        </w:rPr>
        <w:t xml:space="preserve"> and files the notice.</w:t>
      </w:r>
    </w:p>
    <w:p>
      <w:pPr>
        <w:tabs>
          <w:tab w:pos="648" w:val="left"/>
        </w:tabs>
        <w:ind w:left="648" w:hanging="648"/>
      </w:pPr>
      <w:r>
        <w:rPr>
          <w:b/>
        </w:rPr>
        <w:t>5.6.3</w:t>
        <w:tab/>
      </w:r>
      <w:r>
        <w:rPr>
          <w:b w:val="0"/>
        </w:rPr>
        <w:t>Results returned to a participant or their physician for clinical decisions must come from a laboratory holding a CLIA certificate for that test; the research exception in 42 CFR 493.3(b)(2) applies only when no patient-specific results are reported. Genetic results are not placed in the medical record or disclosed unless the protocol and consent provide for return of results.</w:t>
      </w:r>
    </w:p>
    <w:p>
      <w:pPr>
        <w:pStyle w:val="Heading2"/>
      </w:pPr>
      <w:r>
        <w:t>5.7 Equipment inventory and calibration</w:t>
      </w:r>
    </w:p>
    <w:p>
      <w:pPr>
        <w:tabs>
          <w:tab w:pos="648" w:val="left"/>
        </w:tabs>
        <w:ind w:left="648" w:hanging="648"/>
      </w:pPr>
      <w:r>
        <w:rPr>
          <w:b/>
        </w:rPr>
        <w:t>5.7.1</w:t>
        <w:tab/>
      </w:r>
      <w:r>
        <w:rPr>
          <w:b w:val="0"/>
        </w:rPr>
        <w:t>The Quality Lead lists each item on F-312-01 before first use: asset number, description, manufacturer, model, serial number, location, owner (site or sponsor and study), use (data, safety or storage), calibration and maintenance frequency, last and next due dates, vendor and status. New equipment has a documented acceptance check (installation, initial calibration or verification certificate, label) before trial use.</w:t>
      </w:r>
    </w:p>
    <w:p>
      <w:pPr>
        <w:tabs>
          <w:tab w:pos="648" w:val="left"/>
        </w:tabs>
        <w:ind w:left="648" w:hanging="648"/>
      </w:pPr>
      <w:r>
        <w:rPr>
          <w:b/>
        </w:rPr>
        <w:t>5.7.2</w:t>
        <w:tab/>
      </w:r>
      <w:r>
        <w:rPr>
          <w:b w:val="0"/>
        </w:rPr>
        <w:t>Each item carries a label with its asset number and next due date; unlabeled items are out of service.</w:t>
      </w:r>
    </w:p>
    <w:p>
      <w:pPr>
        <w:tabs>
          <w:tab w:pos="648" w:val="left"/>
        </w:tabs>
        <w:ind w:left="648" w:hanging="648"/>
      </w:pPr>
      <w:r>
        <w:rPr>
          <w:b/>
        </w:rPr>
        <w:t>5.7.3</w:t>
        <w:tab/>
      </w:r>
      <w:r>
        <w:rPr>
          <w:b w:val="0"/>
        </w:rPr>
        <w:t xml:space="preserve">Calibration and preventive maintenance follow, in order, the protocol or sponsor requirement, the manufacturer's instructions, and otherwise </w:t>
      </w:r>
      <w:r>
        <w:rPr>
          <w:b w:val="0"/>
          <w:highlight w:val="green"/>
        </w:rPr>
        <w:t>[DEFAULT: annually]</w:t>
      </w:r>
      <w:r>
        <w:rPr>
          <w:b w:val="0"/>
        </w:rPr>
        <w:t>, including probes and data loggers (NIST-traceable certificate, renewed at the certificate interval if shorter) and refrigerators and freezers. Emergency equipment (AED, suction, oxygen) is checked as the manufacturer specifies. Per-use checks the manufacturer or protocol requires (for example spirometer syringe check, glucose meter controls) are done by the user and recorded.</w:t>
      </w:r>
    </w:p>
    <w:p>
      <w:pPr>
        <w:tabs>
          <w:tab w:pos="648" w:val="left"/>
        </w:tabs>
        <w:ind w:left="648" w:hanging="648"/>
      </w:pPr>
      <w:r>
        <w:rPr>
          <w:b/>
        </w:rPr>
        <w:t>5.7.4</w:t>
        <w:tab/>
      </w:r>
      <w:r>
        <w:rPr>
          <w:b w:val="0"/>
        </w:rPr>
        <w:t>Calibration is done by a vendor with traceable reference standards or by trained staff using a documented method and traceable reference. When filing each certificate, the Quality Lead checks the as-found results, updates F-312-01 and books the next service before the due date. Equipment that would go overdue is replaced or removed from trial use.</w:t>
      </w:r>
    </w:p>
    <w:p>
      <w:pPr>
        <w:tabs>
          <w:tab w:pos="648" w:val="left"/>
        </w:tabs>
        <w:ind w:left="648" w:hanging="648"/>
      </w:pPr>
      <w:r>
        <w:rPr>
          <w:b/>
        </w:rPr>
        <w:t>5.7.5</w:t>
        <w:tab/>
      </w:r>
      <w:r>
        <w:rPr>
          <w:b w:val="0"/>
        </w:rPr>
        <w:t>Certificates (equipment identification, date, as-found and as-left results, tolerance, pass or fail, reference standard, technician) are filed in the central equipment file, with copies or a pointer in the ISF when the sponsor asks.</w:t>
      </w:r>
    </w:p>
    <w:p>
      <w:pPr>
        <w:tabs>
          <w:tab w:pos="648" w:val="left"/>
        </w:tabs>
        <w:ind w:left="648" w:hanging="648"/>
      </w:pPr>
      <w:r>
        <w:rPr>
          <w:b/>
        </w:rPr>
        <w:t>5.7.6</w:t>
        <w:tab/>
      </w:r>
      <w:r>
        <w:rPr>
          <w:b w:val="0"/>
        </w:rPr>
        <w:t>At the annual calibration round, the Quality Lead reconciles F-312-01 against equipment present at each location and records the result. Retired equipment is marked retired with date and reason, and its records are kept under SOP-12.</w:t>
      </w:r>
    </w:p>
    <w:p>
      <w:pPr>
        <w:pStyle w:val="Heading2"/>
      </w:pPr>
      <w:r>
        <w:t>5.8 Out of tolerance, failures and sponsor equipment</w:t>
      </w:r>
    </w:p>
    <w:p>
      <w:pPr>
        <w:tabs>
          <w:tab w:pos="648" w:val="left"/>
        </w:tabs>
        <w:ind w:left="648" w:hanging="648"/>
      </w:pPr>
      <w:r>
        <w:rPr>
          <w:b/>
        </w:rPr>
        <w:t>5.8.1</w:t>
        <w:tab/>
      </w:r>
      <w:r>
        <w:rPr>
          <w:b w:val="0"/>
        </w:rPr>
        <w:t>Any staff member who finds equipment damaged, malfunctioning or failing a check stops using it, tags it "OUT OF SERVICE: DO NOT USE" and tells the Quality Lead and affected Lead CRCs the same day. An as-found result outside tolerance counts even if the as-left result passes.</w:t>
      </w:r>
    </w:p>
    <w:p>
      <w:pPr>
        <w:tabs>
          <w:tab w:pos="648" w:val="left"/>
        </w:tabs>
        <w:ind w:left="648" w:hanging="648"/>
      </w:pPr>
      <w:r>
        <w:rPr>
          <w:b/>
        </w:rPr>
        <w:t>5.8.2</w:t>
        <w:tab/>
      </w:r>
      <w:r>
        <w:rPr>
          <w:b w:val="0"/>
        </w:rPr>
        <w:t>The Quality Lead records the event on F-312-01 and completes an impact assessment back to the last acceptable calibration or check: which studies, participants and visits used the equipment, the size and direction of the error against protocol thresholds (eligibility cut-offs, weight-based doses, stopping rules), and which decisions or endpoints could be affected. The PI reviews it and decides on actions (repeat measurements, eligibility re-review, notifying participants or physicians, data corrections). The Lead CRC notifies the sponsor of any potential impact and records a deviation where data or safety were affected; a systemic cause opens a CAPA (SOP-08).</w:t>
      </w:r>
    </w:p>
    <w:p>
      <w:pPr>
        <w:tabs>
          <w:tab w:pos="648" w:val="left"/>
        </w:tabs>
        <w:ind w:left="648" w:hanging="648"/>
      </w:pPr>
      <w:r>
        <w:rPr>
          <w:b/>
        </w:rPr>
        <w:t>5.8.3</w:t>
        <w:tab/>
      </w:r>
      <w:r>
        <w:rPr>
          <w:b w:val="0"/>
        </w:rPr>
        <w:t>Sponsor-provided equipment is recorded on F-312-01 on receipt with study, serial number and the sponsor's requirements, used only for its study, maintained as the sponsor instructs, and returned at closeout. Faults go to the sponsor's help desk with the ticket number recorded; 5.8.2 applies if data were affected.</w:t>
      </w:r>
    </w:p>
    <w:p>
      <w:pPr>
        <w:tabs>
          <w:tab w:pos="648" w:val="left"/>
        </w:tabs>
        <w:ind w:left="648" w:hanging="648"/>
      </w:pPr>
      <w:r>
        <w:rPr>
          <w:b/>
        </w:rPr>
        <w:t>5.8.4</w:t>
        <w:tab/>
      </w:r>
      <w:r>
        <w:rPr>
          <w:b w:val="0"/>
        </w:rPr>
        <w:t>Equipment issued to participants is tracked by serial number against participant ID on F-312-01 or the sponsor's device log, and the CRC records participant training on it (ICH E6(R3) Annex 1, 2.12.10(d)).</w:t>
      </w:r>
    </w:p>
    <w:p>
      <w:pPr>
        <w:pStyle w:val="Heading2"/>
      </w:pPr>
      <w:r>
        <w:t>5.9 On-site testing (CLIA)</w:t>
      </w:r>
    </w:p>
    <w:p>
      <w:pPr>
        <w:tabs>
          <w:tab w:pos="648" w:val="left"/>
        </w:tabs>
        <w:ind w:left="648" w:hanging="648"/>
      </w:pPr>
      <w:r>
        <w:rPr>
          <w:b/>
        </w:rPr>
        <w:t>5.9.1</w:t>
        <w:tab/>
      </w:r>
      <w:r>
        <w:rPr>
          <w:b w:val="0"/>
        </w:rPr>
        <w:t>Any test on a human specimen performed at the site whose result is used for eligibility, safety, dosing or reported to the participant or their physician is subject to CLIA; protocol point-of-care tests used for eligibility or safety do not meet the research exception.</w:t>
      </w:r>
    </w:p>
    <w:p>
      <w:pPr>
        <w:tabs>
          <w:tab w:pos="648" w:val="left"/>
        </w:tabs>
        <w:ind w:left="648" w:hanging="648"/>
      </w:pPr>
      <w:r>
        <w:rPr>
          <w:b/>
        </w:rPr>
        <w:t>5.9.2</w:t>
        <w:tab/>
      </w:r>
      <w:r>
        <w:rPr>
          <w:b w:val="0"/>
        </w:rPr>
        <w:t>Before on-site testing begins, the Site Director confirms that the site holds a CLIA certificate covering each test at each location: Certificate of Waiver (waived tests only, manufacturer's instructions followed exactly), Provider-Performed Microscopy, Compliance, Accreditation, or a temporary Registration Certificate. The Site Director confirms each device's complexity from the FDA CLIA database or package insert; a test above the certificate's level is not run. Sponsor-provided point-of-care devices are treated the same way.</w:t>
      </w:r>
    </w:p>
    <w:p>
      <w:pPr>
        <w:tabs>
          <w:tab w:pos="648" w:val="left"/>
        </w:tabs>
        <w:ind w:left="648" w:hanging="648"/>
      </w:pPr>
      <w:r>
        <w:rPr>
          <w:b/>
        </w:rPr>
        <w:t>5.9.3</w:t>
        <w:tab/>
      </w:r>
      <w:r>
        <w:rPr>
          <w:b w:val="0"/>
        </w:rPr>
        <w:t>Waived testing is done only by staff trained on the device, with in-date reagents and controls at the manufacturer's frequency, without modification, and training and control results are recorded.</w:t>
      </w:r>
    </w:p>
    <w:p>
      <w:pPr>
        <w:tabs>
          <w:tab w:pos="648" w:val="left"/>
        </w:tabs>
        <w:ind w:left="648" w:hanging="648"/>
      </w:pPr>
      <w:r>
        <w:rPr>
          <w:b/>
        </w:rPr>
        <w:t>5.9.4</w:t>
        <w:tab/>
      </w:r>
      <w:r>
        <w:rPr>
          <w:b w:val="0"/>
        </w:rPr>
        <w:t xml:space="preserve">The site's certificate(s) are </w:t>
      </w:r>
      <w:r>
        <w:rPr>
          <w:b w:val="0"/>
          <w:highlight w:val="yellow"/>
        </w:rPr>
        <w:t>[CLIA NUMBER AND TYPE PER LOCATION]</w:t>
      </w:r>
      <w:r>
        <w:rPr>
          <w:b w:val="0"/>
        </w:rPr>
        <w:t xml:space="preserve">, laboratory director </w:t>
      </w:r>
      <w:r>
        <w:rPr>
          <w:b w:val="0"/>
          <w:highlight w:val="yellow"/>
        </w:rPr>
        <w:t>[LAB DIRECTOR]</w:t>
      </w:r>
      <w:r>
        <w:rPr>
          <w:b w:val="0"/>
        </w:rPr>
        <w:t>; state laboratory requirements are recorded in Appendix A. The Regulatory Coordinator keeps the certificates and on-site test list, sends copies to sponsors, and renews before the two-year expiry.</w:t>
      </w:r>
    </w:p>
    <w:p>
      <w:pPr>
        <w:tabs>
          <w:tab w:pos="648" w:val="left"/>
        </w:tabs>
        <w:ind w:left="648" w:hanging="648"/>
      </w:pPr>
      <w:r>
        <w:rPr>
          <w:b/>
        </w:rPr>
        <w:t>5.9.5</w:t>
        <w:tab/>
      </w:r>
      <w:r>
        <w:rPr>
          <w:b w:val="0"/>
        </w:rPr>
        <w:t>The Site Director notifies CMS through the CLIA state agency within 30 days of a change in ownership, name, location or director, checking the rule for the site's certificate type (42 CFR 493.39, 493.51, 493.53, 493.63). For waiver and PPM certificates, HHS is notified before a test outside the certificate is performed; for compliance and accreditation certificates, a new specialty is notified within 6 months.</w:t>
      </w:r>
    </w:p>
    <w:p>
      <w:pPr>
        <w:pStyle w:val="Heading2"/>
      </w:pPr>
      <w:r>
        <w:t>5.10 Central and local laboratories</w:t>
      </w:r>
    </w:p>
    <w:p>
      <w:pPr>
        <w:tabs>
          <w:tab w:pos="648" w:val="left"/>
        </w:tabs>
        <w:ind w:left="648" w:hanging="648"/>
      </w:pPr>
      <w:r>
        <w:rPr>
          <w:b/>
        </w:rPr>
        <w:t>5.10.1</w:t>
        <w:tab/>
      </w:r>
      <w:r>
        <w:rPr>
          <w:b w:val="0"/>
        </w:rPr>
        <w:t>The site uses a local laboratory for protocol tests only where the protocol or sponsor permits. Before first use of any laboratory, the Regulatory Coordinator files its CLIA certificate and accreditation (for example CAP), normal ranges with units and effective date, and the laboratory director's name (and CV if the sponsor requires). The site provides the same for its own on-site testing.</w:t>
      </w:r>
    </w:p>
    <w:p>
      <w:pPr>
        <w:tabs>
          <w:tab w:pos="648" w:val="left"/>
        </w:tabs>
        <w:ind w:left="648" w:hanging="648"/>
      </w:pPr>
      <w:r>
        <w:rPr>
          <w:b/>
        </w:rPr>
        <w:t>5.10.2</w:t>
        <w:tab/>
      </w:r>
      <w:r>
        <w:rPr>
          <w:b w:val="0"/>
        </w:rPr>
        <w:t>For IND studies, clinical laboratories are listed on Form FDA 1572 Section 4; when a laboratory is added, the Regulatory Coordinator updates the 1572 or records it as the sponsor instructs (SOP-03). Device studies follow the investigational plan.</w:t>
      </w:r>
    </w:p>
    <w:p>
      <w:pPr>
        <w:tabs>
          <w:tab w:pos="648" w:val="left"/>
        </w:tabs>
        <w:ind w:left="648" w:hanging="648"/>
      </w:pPr>
      <w:r>
        <w:rPr>
          <w:b/>
        </w:rPr>
        <w:t>5.10.3</w:t>
        <w:tab/>
      </w:r>
      <w:r>
        <w:rPr>
          <w:b w:val="0"/>
        </w:rPr>
        <w:t>The Regulatory Coordinator requests updated certificates on expiry and files new normal ranges with their effective date when a laboratory changes them, so each result is read against the ranges in effect on its test date. Results are reviewed and signed by an investigator under SOP-09.</w:t>
      </w:r>
    </w:p>
    <w:p>
      <w:pPr>
        <w:pStyle w:val="Heading2"/>
      </w:pPr>
      <w:r>
        <w:t>5.11 Records and closeout</w:t>
      </w:r>
    </w:p>
    <w:p>
      <w:pPr>
        <w:tabs>
          <w:tab w:pos="648" w:val="left"/>
        </w:tabs>
        <w:ind w:left="648" w:hanging="648"/>
      </w:pPr>
      <w:r>
        <w:rPr>
          <w:b/>
        </w:rPr>
        <w:t>5.11.1</w:t>
        <w:tab/>
      </w:r>
      <w:r>
        <w:rPr>
          <w:b w:val="0"/>
        </w:rPr>
        <w:t>Specimen collection, processing, shipment and storage records, equipment and calibration records, and laboratory certificates and normal ranges are essential records retained under SOP-12.</w:t>
      </w:r>
    </w:p>
    <w:p>
      <w:pPr>
        <w:tabs>
          <w:tab w:pos="648" w:val="left"/>
        </w:tabs>
        <w:ind w:left="648" w:hanging="648"/>
      </w:pPr>
      <w:r>
        <w:rPr>
          <w:b/>
        </w:rPr>
        <w:t>5.11.2</w:t>
        <w:tab/>
      </w:r>
      <w:r>
        <w:rPr>
          <w:b w:val="0"/>
        </w:rPr>
        <w:t>At closeout (SOP-15), the CRC reconciles specimens collected against shipments and laboratory receipts, ships or destroys remaining specimens on the sponsor's written instruction, returns or disposes of kits and sponsor equipment, and records the outcome.</w:t>
      </w:r>
    </w:p>
    <w:p>
      <w:pPr>
        <w:pStyle w:val="Heading1"/>
      </w:pPr>
      <w:r>
        <w:t>6. Related Forms and SOPs</w:t>
      </w:r>
    </w:p>
    <w:p>
      <w:pPr>
        <w:pStyle w:val="ListBullet"/>
        <w:spacing w:after="40"/>
        <w:ind w:left="360" w:hanging="259"/>
      </w:pPr>
      <w:r>
        <w:rPr>
          <w:b w:val="0"/>
        </w:rPr>
        <w:t>F-311-01 Specimen Processing and Shipment Log</w:t>
      </w:r>
    </w:p>
    <w:p>
      <w:pPr>
        <w:pStyle w:val="ListBullet"/>
        <w:spacing w:after="40"/>
        <w:ind w:left="360" w:hanging="259"/>
      </w:pPr>
      <w:r>
        <w:rPr>
          <w:b w:val="0"/>
        </w:rPr>
        <w:t>F-312-01 Equipment Inventory and Calibration Log</w:t>
      </w:r>
    </w:p>
    <w:p>
      <w:pPr>
        <w:pStyle w:val="ListBullet"/>
        <w:spacing w:after="40"/>
        <w:ind w:left="360" w:hanging="259"/>
      </w:pPr>
      <w:r>
        <w:rPr>
          <w:b w:val="0"/>
        </w:rPr>
        <w:t>F-304-03 Temperature Excursion Report</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SOP-01 SOP Control, Training and Qualification</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SOP-06 Investigational Product Management</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SOP-15 Study Closeout</w:t>
      </w:r>
    </w:p>
    <w:p>
      <w:pPr>
        <w:pStyle w:val="ListBullet"/>
        <w:spacing w:after="40"/>
        <w:ind w:left="360" w:hanging="259"/>
      </w:pPr>
      <w:r>
        <w:rPr>
          <w:b w:val="0"/>
        </w:rPr>
        <w:t>SOP-M4 Decentralized Trial Elements, if adopted</w:t>
      </w:r>
    </w:p>
    <w:p>
      <w:pPr>
        <w:pStyle w:val="ListBullet"/>
        <w:spacing w:after="40"/>
        <w:ind w:left="360" w:hanging="259"/>
      </w:pPr>
      <w:r>
        <w:rPr>
          <w:b w:val="0"/>
        </w:rPr>
        <w:t>Appendix A State Law Worksheet</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49 CFR 172.704</w:t>
            </w:r>
          </w:p>
        </w:tc>
        <w:tc>
          <w:tcPr>
            <w:tcW w:type="dxa" w:w="6946"/>
          </w:tcPr>
          <w:p>
            <w:pPr>
              <w:spacing w:after="0"/>
            </w:pPr>
            <w:r>
              <w:rPr>
                <w:b w:val="0"/>
                <w:sz w:val="19"/>
              </w:rPr>
              <w:t>Hazmat employee training</w:t>
            </w:r>
          </w:p>
        </w:tc>
      </w:tr>
      <w:tr>
        <w:trPr>
          <w:cantSplit w:val="true"/>
        </w:trPr>
        <w:tc>
          <w:tcPr>
            <w:tcW w:type="dxa" w:w="2701"/>
          </w:tcPr>
          <w:p>
            <w:pPr>
              <w:spacing w:after="0"/>
            </w:pPr>
            <w:r>
              <w:rPr>
                <w:b w:val="0"/>
                <w:sz w:val="19"/>
              </w:rPr>
              <w:t>49 CFR 173.199</w:t>
            </w:r>
          </w:p>
        </w:tc>
        <w:tc>
          <w:tcPr>
            <w:tcW w:type="dxa" w:w="6946"/>
          </w:tcPr>
          <w:p>
            <w:pPr>
              <w:spacing w:after="0"/>
            </w:pPr>
            <w:r>
              <w:rPr>
                <w:b w:val="0"/>
                <w:sz w:val="19"/>
              </w:rPr>
              <w:t>Category B infectious substances</w:t>
            </w:r>
          </w:p>
        </w:tc>
      </w:tr>
      <w:tr>
        <w:trPr>
          <w:cantSplit w:val="true"/>
        </w:trPr>
        <w:tc>
          <w:tcPr>
            <w:tcW w:type="dxa" w:w="2701"/>
          </w:tcPr>
          <w:p>
            <w:pPr>
              <w:spacing w:after="0"/>
            </w:pPr>
            <w:r>
              <w:rPr>
                <w:b w:val="0"/>
                <w:sz w:val="19"/>
              </w:rPr>
              <w:t>49 CFR 173.217</w:t>
            </w:r>
          </w:p>
        </w:tc>
        <w:tc>
          <w:tcPr>
            <w:tcW w:type="dxa" w:w="6946"/>
          </w:tcPr>
          <w:p>
            <w:pPr>
              <w:spacing w:after="0"/>
            </w:pPr>
            <w:r>
              <w:rPr>
                <w:b w:val="0"/>
                <w:sz w:val="19"/>
              </w:rPr>
              <w:t>Carbon dioxide, solid (dry ice)</w:t>
            </w:r>
          </w:p>
        </w:tc>
      </w:tr>
      <w:tr>
        <w:trPr>
          <w:cantSplit w:val="true"/>
        </w:trPr>
        <w:tc>
          <w:tcPr>
            <w:tcW w:type="dxa" w:w="2701"/>
          </w:tcPr>
          <w:p>
            <w:pPr>
              <w:spacing w:after="0"/>
            </w:pPr>
            <w:r>
              <w:rPr>
                <w:b w:val="0"/>
                <w:sz w:val="19"/>
              </w:rPr>
              <w:t>IATA Dangerous Goods Regulations (current edition)</w:t>
            </w:r>
          </w:p>
        </w:tc>
        <w:tc>
          <w:tcPr>
            <w:tcW w:type="dxa" w:w="6946"/>
          </w:tcPr>
          <w:p>
            <w:pPr>
              <w:spacing w:after="0"/>
            </w:pPr>
            <w:r>
              <w:rPr>
                <w:b w:val="0"/>
                <w:sz w:val="19"/>
              </w:rPr>
              <w:t>Packing Instructions 650 (UN3373) and 954 (UN1845); training (Section 1.5)</w:t>
            </w:r>
          </w:p>
        </w:tc>
      </w:tr>
      <w:tr>
        <w:trPr>
          <w:cantSplit w:val="true"/>
        </w:trPr>
        <w:tc>
          <w:tcPr>
            <w:tcW w:type="dxa" w:w="2701"/>
          </w:tcPr>
          <w:p>
            <w:pPr>
              <w:spacing w:after="0"/>
            </w:pPr>
            <w:r>
              <w:rPr>
                <w:b w:val="0"/>
                <w:sz w:val="19"/>
              </w:rPr>
              <w:t>29 CFR 1910.1030</w:t>
            </w:r>
          </w:p>
        </w:tc>
        <w:tc>
          <w:tcPr>
            <w:tcW w:type="dxa" w:w="6946"/>
          </w:tcPr>
          <w:p>
            <w:pPr>
              <w:spacing w:after="0"/>
            </w:pPr>
            <w:r>
              <w:rPr>
                <w:b w:val="0"/>
                <w:sz w:val="19"/>
              </w:rPr>
              <w:t>OSHA Bloodborne Pathogens</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CLIA, including 493.3(b) exceptions and certificate subparts B to D</w:t>
            </w:r>
          </w:p>
        </w:tc>
      </w:tr>
      <w:tr>
        <w:trPr>
          <w:cantSplit w:val="true"/>
        </w:trPr>
        <w:tc>
          <w:tcPr>
            <w:tcW w:type="dxa" w:w="2701"/>
          </w:tcPr>
          <w:p>
            <w:pPr>
              <w:spacing w:after="0"/>
            </w:pPr>
            <w:r>
              <w:rPr>
                <w:b w:val="0"/>
                <w:sz w:val="19"/>
              </w:rPr>
              <w:t>21 CFR 312.53(c)(1)</w:t>
            </w:r>
          </w:p>
        </w:tc>
        <w:tc>
          <w:tcPr>
            <w:tcW w:type="dxa" w:w="6946"/>
          </w:tcPr>
          <w:p>
            <w:pPr>
              <w:spacing w:after="0"/>
            </w:pPr>
            <w:r>
              <w:rPr>
                <w:b w:val="0"/>
                <w:sz w:val="19"/>
              </w:rPr>
              <w:t>Form FDA 1572 information, including clinical laboratory facilities</w:t>
            </w:r>
          </w:p>
        </w:tc>
      </w:tr>
      <w:tr>
        <w:trPr>
          <w:cantSplit w:val="true"/>
        </w:trPr>
        <w:tc>
          <w:tcPr>
            <w:tcW w:type="dxa" w:w="2701"/>
          </w:tcPr>
          <w:p>
            <w:pPr>
              <w:spacing w:after="0"/>
            </w:pPr>
            <w:r>
              <w:rPr>
                <w:b w:val="0"/>
                <w:sz w:val="19"/>
              </w:rPr>
              <w:t>ICH E6(R3) Annex 1, 2.12.10(d)</w:t>
            </w:r>
          </w:p>
        </w:tc>
        <w:tc>
          <w:tcPr>
            <w:tcW w:type="dxa" w:w="6946"/>
          </w:tcPr>
          <w:p>
            <w:pPr>
              <w:spacing w:after="0"/>
            </w:pPr>
            <w:r>
              <w:rPr>
                <w:b w:val="0"/>
                <w:sz w:val="19"/>
              </w:rPr>
              <w:t>Equipment provided to participants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(specimen, calibration and laboratory records)</w:t>
            </w:r>
          </w:p>
        </w:tc>
      </w:tr>
      <w:tr>
        <w:trPr>
          <w:cantSplit w:val="true"/>
        </w:trPr>
        <w:tc>
          <w:tcPr>
            <w:tcW w:type="dxa" w:w="2701"/>
          </w:tcPr>
          <w:p>
            <w:pPr>
              <w:spacing w:after="0"/>
            </w:pPr>
            <w:r>
              <w:rPr>
                <w:b w:val="0"/>
                <w:sz w:val="19"/>
              </w:rPr>
              <w:t>Reference Edition SOP-311, SOP-312</w:t>
            </w:r>
          </w:p>
        </w:tc>
        <w:tc>
          <w:tcPr>
            <w:tcW w:type="dxa" w:w="6946"/>
          </w:tcPr>
          <w:p>
            <w:pPr>
              <w:spacing w:after="0"/>
            </w:pPr>
            <w:r>
              <w:rPr>
                <w:b w:val="0"/>
                <w:sz w:val="19"/>
              </w:rPr>
              <w:t>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SOP-11 Specimens, Equipment and Laboratories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SOP-11 Specimens, Equipment and Laboratories</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