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SOP-09</w:t>
      </w:r>
    </w:p>
    <w:p>
      <w:pPr>
        <w:pStyle w:val="Title"/>
        <w:pBdr>
          <w:bottom w:val="single" w:sz="12" w:space="1" w:color="1F3864"/>
        </w:pBdr>
        <w:spacing w:after="120"/>
      </w:pPr>
      <w:r>
        <w:rPr>
          <w:b w:val="0"/>
          <w:color w:val="1F3864"/>
          <w:sz w:val="36"/>
        </w:rPr>
        <w:t>Safety Reporting (AEs, SAEs, IRB-Reportable Events, Pregnancy)</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highlight w:val="yellow"/>
        </w:rPr>
        <w:t>[SITE NAME]</w:t>
      </w:r>
      <w:r>
        <w:rPr>
          <w:b w:val="0"/>
        </w:rPr>
        <w:t xml:space="preserve"> uses this SOP to identify, assess and record adverse events (AEs), report serious adverse events (SAEs) and device events to the sponsor, process sponsor safety reports, report unanticipated problems and other reportable new information to the IRB, and manage and report pregnancies.</w:t>
      </w:r>
    </w:p>
    <w:p>
      <w:pPr>
        <w:pStyle w:val="Heading1"/>
      </w:pPr>
      <w:r>
        <w:t>2. Scope</w:t>
      </w:r>
    </w:p>
    <w:p>
      <w:pPr/>
      <w:r>
        <w:rPr>
          <w:b w:val="0"/>
        </w:rPr>
        <w:t xml:space="preserve">All drug, biologic and device trials at </w:t>
      </w:r>
      <w:r>
        <w:rPr>
          <w:b w:val="0"/>
          <w:highlight w:val="yellow"/>
        </w:rPr>
        <w:t>[SITE NAME]</w:t>
      </w:r>
      <w:r>
        <w:rPr>
          <w:b w:val="0"/>
        </w:rPr>
        <w:t>, at every location and during remote or home visits, from the start of each protocol-defined collection window to the end of protocol follow-up, including pregnancy and infant follow-up where the protocol requires it.</w:t>
      </w:r>
    </w:p>
    <w:p>
      <w:pPr/>
      <w:r>
        <w:rPr>
          <w:b w:val="0"/>
        </w:rPr>
        <w:t>Out of scope: emergency unblinding (SOP-05), IP handling (SOP-06), routine IRB submissions (SOP-03), and sponsor-investigator duties to FDA (SOP-M6, if adopted). Trials designed to enroll pregnant or lactating participants follow their protocol for that population.</w:t>
      </w:r>
    </w:p>
    <w:p>
      <w:pPr/>
      <w:r>
        <w:rPr>
          <w:b w:val="0"/>
        </w:rPr>
        <w:t>The protocol's definitions, grading scale, collection windows and reporting timelines govern each trial. Follow the protocol, sponsor or IRB requirement wherever it is stricter than this SOP. The IRB's written policy governs what is reported to the IRB and when.</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Holds overall responsibility for participant safety and safety reporting, including when tasks are delegated. Assesses or confirms seriousness, severity and causality; provides or arranges medical care; signs SAE, pregnancy and IRB-reportability assessments; reviews sponsor safety reports.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Assesses AEs, signs SAE reports and makes urgent protective decisions when delegated on F-302-01 and the PI is unavailable.</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Elicits and records AEs, prepares F-500-01 for the investigator, submits SAE, device and pregnancy reports within the protocol timeline, keeps F-501-01 and F-503-01, obtains outside records, and follows events to resolution. Does not assess causality or clinical significance.</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Keeps each IRB's reportable-event policy on F-502-01, logs and routes sponsor safety reports, prepares and submits IRB reports, and tracks IRB-required actions.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Reports safety information learned during dispensing or returns; withholds IP and quarantines devices as instructed.</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Covers AE, SAE and IRB-report timeliness in the quarterly quality review (SOP-14).</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Pass any participant health complaint or safety information to the CRC or an investigator the same day; anything that may be an SAE,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Adverse Event (AE)</w:t>
            </w:r>
          </w:p>
        </w:tc>
        <w:tc>
          <w:tcPr>
            <w:tcW w:type="dxa" w:w="6946"/>
          </w:tcPr>
          <w:p>
            <w:pPr>
              <w:spacing w:after="0"/>
            </w:pPr>
            <w:r>
              <w:rPr>
                <w:b w:val="0"/>
                <w:sz w:val="19"/>
              </w:rPr>
              <w:t>Any unfavorable medical occurrence in a participant administered the investigational product, whether or not considered related, including an abnormal laboratory finding, symptom or disease temporally associated with its use. The protocol may start collection earlier (for example at consent).</w:t>
            </w:r>
          </w:p>
        </w:tc>
      </w:tr>
      <w:tr>
        <w:trPr>
          <w:cantSplit w:val="true"/>
        </w:trPr>
        <w:tc>
          <w:tcPr>
            <w:tcW w:type="dxa" w:w="2701"/>
          </w:tcPr>
          <w:p>
            <w:pPr>
              <w:spacing w:after="0"/>
            </w:pPr>
            <w:r>
              <w:rPr>
                <w:b w:val="0"/>
                <w:sz w:val="19"/>
              </w:rPr>
              <w:t>Serious Adverse Event (SAE)</w:t>
            </w:r>
          </w:p>
        </w:tc>
        <w:tc>
          <w:tcPr>
            <w:tcW w:type="dxa" w:w="6946"/>
          </w:tcPr>
          <w:p>
            <w:pPr>
              <w:spacing w:after="0"/>
            </w:pPr>
            <w:r>
              <w:rPr>
                <w:b w:val="0"/>
                <w:sz w:val="19"/>
              </w:rPr>
              <w:t>An AE that, in the view of the investigator or sponsor, results in death, is life-threatening, requires inpatient hospitalization or prolongs existing hospitalization, results in persistent or significant incapacity or substantial disruption of the ability to conduct normal life functions, or is a congenital anomaly or birth defect. An important medical event that may jeopardize the participant and may require intervention to prevent one of these outcomes may also be serious (21 CFR 312.32(a); ICH E2A).</w:t>
            </w:r>
          </w:p>
        </w:tc>
      </w:tr>
      <w:tr>
        <w:trPr>
          <w:cantSplit w:val="true"/>
        </w:trPr>
        <w:tc>
          <w:tcPr>
            <w:tcW w:type="dxa" w:w="2701"/>
          </w:tcPr>
          <w:p>
            <w:pPr>
              <w:spacing w:after="0"/>
            </w:pPr>
            <w:r>
              <w:rPr>
                <w:b w:val="0"/>
                <w:sz w:val="19"/>
              </w:rPr>
              <w:t>Severity</w:t>
            </w:r>
          </w:p>
        </w:tc>
        <w:tc>
          <w:tcPr>
            <w:tcW w:type="dxa" w:w="6946"/>
          </w:tcPr>
          <w:p>
            <w:pPr>
              <w:spacing w:after="0"/>
            </w:pPr>
            <w:r>
              <w:rPr>
                <w:b w:val="0"/>
                <w:sz w:val="19"/>
              </w:rPr>
              <w:t>The intensity of an event on the protocol scale (for example mild, moderate, severe, or CTCAE grade). Severity and seriousness are recorded separately.</w:t>
            </w:r>
          </w:p>
        </w:tc>
      </w:tr>
      <w:tr>
        <w:trPr>
          <w:cantSplit w:val="true"/>
        </w:trPr>
        <w:tc>
          <w:tcPr>
            <w:tcW w:type="dxa" w:w="2701"/>
          </w:tcPr>
          <w:p>
            <w:pPr>
              <w:spacing w:after="0"/>
            </w:pPr>
            <w:r>
              <w:rPr>
                <w:b w:val="0"/>
                <w:sz w:val="19"/>
              </w:rPr>
              <w:t>Causality</w:t>
            </w:r>
          </w:p>
        </w:tc>
        <w:tc>
          <w:tcPr>
            <w:tcW w:type="dxa" w:w="6946"/>
          </w:tcPr>
          <w:p>
            <w:pPr>
              <w:spacing w:after="0"/>
            </w:pPr>
            <w:r>
              <w:rPr>
                <w:b w:val="0"/>
                <w:sz w:val="19"/>
              </w:rPr>
              <w:t>The investigator's judgment of whether there is a reasonable possibility that the IP (or a study procedure, where the protocol asks) caused the event.</w:t>
            </w:r>
          </w:p>
        </w:tc>
      </w:tr>
      <w:tr>
        <w:trPr>
          <w:cantSplit w:val="true"/>
        </w:trPr>
        <w:tc>
          <w:tcPr>
            <w:tcW w:type="dxa" w:w="2701"/>
          </w:tcPr>
          <w:p>
            <w:pPr>
              <w:spacing w:after="0"/>
            </w:pPr>
            <w:r>
              <w:rPr>
                <w:b w:val="0"/>
                <w:sz w:val="19"/>
              </w:rPr>
              <w:t>Reference Safety Information (RSI)</w:t>
            </w:r>
          </w:p>
        </w:tc>
        <w:tc>
          <w:tcPr>
            <w:tcW w:type="dxa" w:w="6946"/>
          </w:tcPr>
          <w:p>
            <w:pPr>
              <w:spacing w:after="0"/>
            </w:pPr>
            <w:r>
              <w:rPr>
                <w:b w:val="0"/>
                <w:sz w:val="19"/>
              </w:rPr>
              <w:t>The IB section, package insert or device risk document the protocol names for judging expectedness. The sponsor makes the regulatory expectedness determination.</w:t>
            </w:r>
          </w:p>
        </w:tc>
      </w:tr>
      <w:tr>
        <w:trPr>
          <w:cantSplit w:val="true"/>
        </w:trPr>
        <w:tc>
          <w:tcPr>
            <w:tcW w:type="dxa" w:w="2701"/>
          </w:tcPr>
          <w:p>
            <w:pPr>
              <w:spacing w:after="0"/>
            </w:pPr>
            <w:r>
              <w:rPr>
                <w:b w:val="0"/>
                <w:sz w:val="19"/>
              </w:rPr>
              <w:t>Awareness date (Day 0)</w:t>
            </w:r>
          </w:p>
        </w:tc>
        <w:tc>
          <w:tcPr>
            <w:tcW w:type="dxa" w:w="6946"/>
          </w:tcPr>
          <w:p>
            <w:pPr>
              <w:spacing w:after="0"/>
            </w:pPr>
            <w:r>
              <w:rPr>
                <w:b w:val="0"/>
                <w:sz w:val="19"/>
              </w:rPr>
              <w:t>The date any member of the site research staff first receives information that an event meets SAE criteria, from any source.</w:t>
            </w:r>
          </w:p>
        </w:tc>
      </w:tr>
      <w:tr>
        <w:trPr>
          <w:cantSplit w:val="true"/>
        </w:trPr>
        <w:tc>
          <w:tcPr>
            <w:tcW w:type="dxa" w:w="2701"/>
          </w:tcPr>
          <w:p>
            <w:pPr>
              <w:spacing w:after="0"/>
            </w:pPr>
            <w:r>
              <w:rPr>
                <w:b w:val="0"/>
                <w:sz w:val="19"/>
              </w:rPr>
              <w:t>IND safety report</w:t>
            </w:r>
          </w:p>
        </w:tc>
        <w:tc>
          <w:tcPr>
            <w:tcW w:type="dxa" w:w="6946"/>
          </w:tcPr>
          <w:p>
            <w:pPr>
              <w:spacing w:after="0"/>
            </w:pPr>
            <w:r>
              <w:rPr>
                <w:b w:val="0"/>
                <w:sz w:val="19"/>
              </w:rPr>
              <w:t>The sponsor's expedited report to FDA and investigators under 21 CFR 312.32(c), often received as a SUSAR letter or line listing.</w:t>
            </w:r>
          </w:p>
        </w:tc>
      </w:tr>
      <w:tr>
        <w:trPr>
          <w:cantSplit w:val="true"/>
        </w:trPr>
        <w:tc>
          <w:tcPr>
            <w:tcW w:type="dxa" w:w="2701"/>
          </w:tcPr>
          <w:p>
            <w:pPr>
              <w:spacing w:after="0"/>
            </w:pPr>
            <w:r>
              <w:rPr>
                <w:b w:val="0"/>
                <w:sz w:val="19"/>
              </w:rPr>
              <w:t>Unanticipated Adverse Device Effect (UADE)</w:t>
            </w:r>
          </w:p>
        </w:tc>
        <w:tc>
          <w:tcPr>
            <w:tcW w:type="dxa" w:w="6946"/>
          </w:tcPr>
          <w:p>
            <w:pPr>
              <w:spacing w:after="0"/>
            </w:pPr>
            <w:r>
              <w:rPr>
                <w:b w:val="0"/>
                <w:sz w:val="19"/>
              </w:rPr>
              <w:t>Any serious adverse effect on health or safety, life-threatening problem or death caused by or associated with a device, if not previously identified in nature, severity or degree of incidence in the investigational plan or application, or any other unanticipated serious problem associated with a device that relates to participants' rights, safety or welfare (21 CFR 812.3(s)).</w:t>
            </w:r>
          </w:p>
        </w:tc>
      </w:tr>
      <w:tr>
        <w:trPr>
          <w:cantSplit w:val="true"/>
        </w:trPr>
        <w:tc>
          <w:tcPr>
            <w:tcW w:type="dxa" w:w="2701"/>
          </w:tcPr>
          <w:p>
            <w:pPr>
              <w:spacing w:after="0"/>
            </w:pPr>
            <w:r>
              <w:rPr>
                <w:b w:val="0"/>
                <w:sz w:val="19"/>
              </w:rPr>
              <w:t>Device deficiency</w:t>
            </w:r>
          </w:p>
        </w:tc>
        <w:tc>
          <w:tcPr>
            <w:tcW w:type="dxa" w:w="6946"/>
          </w:tcPr>
          <w:p>
            <w:pPr>
              <w:spacing w:after="0"/>
            </w:pPr>
            <w:r>
              <w:rPr>
                <w:b w:val="0"/>
                <w:sz w:val="19"/>
              </w:rPr>
              <w:t>An inadequacy of a device in identity, quality, durability, reliability, usability, safety or performance, including malfunction, use error and inadequate labeling (ISO 14155).</w:t>
            </w:r>
          </w:p>
        </w:tc>
      </w:tr>
      <w:tr>
        <w:trPr>
          <w:cantSplit w:val="true"/>
        </w:trPr>
        <w:tc>
          <w:tcPr>
            <w:tcW w:type="dxa" w:w="2701"/>
          </w:tcPr>
          <w:p>
            <w:pPr>
              <w:spacing w:after="0"/>
            </w:pPr>
            <w:r>
              <w:rPr>
                <w:b w:val="0"/>
                <w:sz w:val="19"/>
              </w:rPr>
              <w:t>Unanticipated problem (UP)</w:t>
            </w:r>
          </w:p>
        </w:tc>
        <w:tc>
          <w:tcPr>
            <w:tcW w:type="dxa" w:w="6946"/>
          </w:tcPr>
          <w:p>
            <w:pPr>
              <w:spacing w:after="0"/>
            </w:pPr>
            <w:r>
              <w:rPr>
                <w:b w:val="0"/>
                <w:sz w:val="19"/>
              </w:rPr>
              <w:t>An incident, experience or outcome that is unexpected given the IRB-approved documents and the population, related or possibly related to participation, and suggests greater risk of harm than previously known (OHRP 2007). Seriousness is not a criterion.</w:t>
            </w:r>
          </w:p>
        </w:tc>
      </w:tr>
      <w:tr>
        <w:trPr>
          <w:cantSplit w:val="true"/>
        </w:trPr>
        <w:tc>
          <w:tcPr>
            <w:tcW w:type="dxa" w:w="2701"/>
          </w:tcPr>
          <w:p>
            <w:pPr>
              <w:spacing w:after="0"/>
            </w:pPr>
            <w:r>
              <w:rPr>
                <w:b w:val="0"/>
                <w:sz w:val="19"/>
              </w:rPr>
              <w:t>Reportable new information</w:t>
            </w:r>
          </w:p>
        </w:tc>
        <w:tc>
          <w:tcPr>
            <w:tcW w:type="dxa" w:w="6946"/>
          </w:tcPr>
          <w:p>
            <w:pPr>
              <w:spacing w:after="0"/>
            </w:pPr>
            <w:r>
              <w:rPr>
                <w:b w:val="0"/>
                <w:sz w:val="19"/>
              </w:rPr>
              <w:t>The IRB's categories of information investigators must report promptly, with windows set by the IRB's policy.</w:t>
            </w:r>
          </w:p>
        </w:tc>
      </w:tr>
      <w:tr>
        <w:trPr>
          <w:cantSplit w:val="true"/>
        </w:trPr>
        <w:tc>
          <w:tcPr>
            <w:tcW w:type="dxa" w:w="2701"/>
          </w:tcPr>
          <w:p>
            <w:pPr>
              <w:spacing w:after="0"/>
            </w:pPr>
            <w:r>
              <w:rPr>
                <w:b w:val="0"/>
                <w:sz w:val="19"/>
              </w:rPr>
              <w:t>Partner pregnancy</w:t>
            </w:r>
          </w:p>
        </w:tc>
        <w:tc>
          <w:tcPr>
            <w:tcW w:type="dxa" w:w="6946"/>
          </w:tcPr>
          <w:p>
            <w:pPr>
              <w:spacing w:after="0"/>
            </w:pPr>
            <w:r>
              <w:rPr>
                <w:b w:val="0"/>
                <w:sz w:val="19"/>
              </w:rPr>
              <w:t>A pregnancy in the partner of a male participant, where the partner is not a participant.</w:t>
            </w:r>
          </w:p>
        </w:tc>
      </w:tr>
    </w:tbl>
    <w:p>
      <w:pPr>
        <w:spacing w:after="40"/>
      </w:pPr>
    </w:p>
    <w:p>
      <w:pPr>
        <w:pStyle w:val="Heading1"/>
      </w:pPr>
      <w:r>
        <w:t>5. Procedure</w:t>
      </w:r>
    </w:p>
    <w:p>
      <w:pPr>
        <w:pStyle w:val="Heading2"/>
      </w:pPr>
      <w:r>
        <w:t>5.1 Study start-up</w:t>
      </w:r>
    </w:p>
    <w:p>
      <w:pPr>
        <w:tabs>
          <w:tab w:pos="648" w:val="left"/>
        </w:tabs>
        <w:ind w:left="648" w:hanging="648"/>
      </w:pPr>
      <w:r>
        <w:rPr>
          <w:b/>
        </w:rPr>
        <w:t>5.1.1</w:t>
        <w:tab/>
      </w:r>
      <w:r>
        <w:rPr>
          <w:b w:val="0"/>
        </w:rPr>
        <w:t>Before activation (SOP-03), the Lead CRC records on the study pages of F-500-01, F-501-01 and F-503-01:</w:t>
      </w:r>
    </w:p>
    <w:p>
      <w:pPr>
        <w:pStyle w:val="ListBullet"/>
        <w:spacing w:after="40"/>
        <w:ind w:left="1008" w:hanging="259"/>
      </w:pPr>
      <w:r>
        <w:rPr>
          <w:b w:val="0"/>
        </w:rPr>
        <w:t>collection windows, grading scale, causality categories, protocol exclusions (planned hospitalizations, endpoint events) and abnormal-result rules</w:t>
      </w:r>
    </w:p>
    <w:p>
      <w:pPr>
        <w:pStyle w:val="ListBullet"/>
        <w:spacing w:after="40"/>
        <w:ind w:left="1008" w:hanging="259"/>
      </w:pPr>
      <w:r>
        <w:rPr>
          <w:b w:val="0"/>
        </w:rPr>
        <w:t>the RSI document and version</w:t>
      </w:r>
    </w:p>
    <w:p>
      <w:pPr>
        <w:pStyle w:val="ListBullet"/>
        <w:spacing w:after="40"/>
        <w:ind w:left="1008" w:hanging="259"/>
      </w:pPr>
      <w:r>
        <w:rPr>
          <w:b w:val="0"/>
        </w:rPr>
        <w:t>SAE, device and pregnancy reporting timelines, reporting and backup methods, and sponsor safety contacts</w:t>
      </w:r>
    </w:p>
    <w:p>
      <w:pPr>
        <w:pStyle w:val="ListBullet"/>
        <w:spacing w:after="40"/>
        <w:ind w:left="1008" w:hanging="259"/>
      </w:pPr>
      <w:r>
        <w:rPr>
          <w:b w:val="0"/>
        </w:rPr>
        <w:t>childbearing-potential definition, contraception rules, pregnancy test schedule, and partner pregnancy documents</w:t>
      </w:r>
    </w:p>
    <w:p>
      <w:pPr>
        <w:pStyle w:val="ListBullet"/>
        <w:spacing w:after="40"/>
        <w:ind w:left="1008" w:hanging="259"/>
      </w:pPr>
      <w:r>
        <w:rPr>
          <w:b w:val="0"/>
        </w:rPr>
        <w:t>the investigators covering the SAE reporting window, including weekends and holidays (SOP-16)</w:t>
      </w:r>
    </w:p>
    <w:p>
      <w:pPr>
        <w:tabs>
          <w:tab w:pos="648" w:val="left"/>
        </w:tabs>
        <w:ind w:left="648" w:hanging="648"/>
      </w:pPr>
      <w:r>
        <w:rPr>
          <w:b/>
        </w:rPr>
        <w:t>5.1.2</w:t>
        <w:tab/>
      </w:r>
      <w:r>
        <w:rPr>
          <w:b w:val="0"/>
        </w:rPr>
        <w:t xml:space="preserve">For each IRB, the Regulatory Coordinator files its current reportable-event policy and records on F-502-01 the reportable categories, the window exactly as the IRB states it (calendar or business days, never converted), the submission route, and events the IRB does not want. Where the policy is silent, the window is </w:t>
      </w:r>
      <w:r>
        <w:rPr>
          <w:b w:val="0"/>
          <w:highlight w:val="green"/>
        </w:rPr>
        <w:t>[DEFAULT: 5 calendar days of awareness]</w:t>
      </w:r>
      <w:r>
        <w:rPr>
          <w:b w:val="0"/>
        </w:rPr>
        <w:t>. The policy is re-checked at each study start and when the IRB announces a change.</w:t>
      </w:r>
    </w:p>
    <w:p>
      <w:pPr>
        <w:tabs>
          <w:tab w:pos="648" w:val="left"/>
        </w:tabs>
        <w:ind w:left="648" w:hanging="648"/>
      </w:pPr>
      <w:r>
        <w:rPr>
          <w:b/>
        </w:rPr>
        <w:t>5.1.3</w:t>
        <w:tab/>
      </w:r>
      <w:r>
        <w:rPr>
          <w:b w:val="0"/>
        </w:rPr>
        <w:t>Before first enrollment, the PI confirms that each investigator and CRC delegated safety reporting on F-302-01 has the sponsor's safety training and system access.</w:t>
      </w:r>
    </w:p>
    <w:p>
      <w:pPr>
        <w:tabs>
          <w:tab w:pos="648" w:val="left"/>
        </w:tabs>
        <w:ind w:left="648" w:hanging="648"/>
      </w:pPr>
      <w:r>
        <w:rPr>
          <w:b/>
        </w:rPr>
        <w:t>5.1.4</w:t>
        <w:tab/>
      </w:r>
      <w:r>
        <w:rPr>
          <w:b w:val="0"/>
        </w:rPr>
        <w:t>The Regulatory Coordinator routes each new IB, package insert or device risk document to the PI, who signs and dates the acknowledgment before the new RSI is applied (SOP-03).</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which licensed roles may assess AEs, seriousness, causality and clinical significance (ICH E6(R3) Annex 1, 2.7.1(a)). A nurse practitioner or physician assistant who is a Sub-I may do so only if state scope-of-practice law, the protocol and the sponsor allow it, the PI delegates it on F-302-01, and a physician investigator is available for consultation. </w:t>
            </w:r>
            <w:r>
              <w:rPr>
                <w:b w:val="0"/>
                <w:sz w:val="20"/>
                <w:highlight w:val="green"/>
              </w:rPr>
              <w:t>[DEFAULT: physician PI or physician Sub-I only]</w:t>
            </w:r>
            <w:r>
              <w:rPr>
                <w:b w:val="0"/>
                <w:sz w:val="20"/>
              </w:rPr>
              <w:t>.</w:t>
            </w:r>
          </w:p>
        </w:tc>
      </w:tr>
    </w:tbl>
    <w:p>
      <w:pPr>
        <w:spacing w:after="0"/>
      </w:pPr>
    </w:p>
    <w:p>
      <w:pPr>
        <w:pStyle w:val="Heading2"/>
      </w:pPr>
      <w:r>
        <w:t>5.2 Identifying and recording AEs</w:t>
      </w:r>
    </w:p>
    <w:p>
      <w:pPr>
        <w:tabs>
          <w:tab w:pos="648" w:val="left"/>
        </w:tabs>
        <w:ind w:left="648" w:hanging="648"/>
      </w:pPr>
      <w:r>
        <w:rPr>
          <w:b/>
        </w:rPr>
        <w:t>5.2.1</w:t>
        <w:tab/>
      </w:r>
      <w:r>
        <w:rPr>
          <w:b w:val="0"/>
        </w:rPr>
        <w:t>Before the collection window opens, the CRC records relevant conditions, ongoing symptoms and concomitant medications as medical history; events before the window opens are medical history unless the protocol requires reporting. A baseline condition that worsens after the window opens is an AE. Where the protocol does not state when collection starts, the CRC asks the sponsor in writing and files the answer. An event after consent and before the window that may be caused by a study procedure (for example a screening biopsy), a washout or a medication error is recorded as the protocol requires, and an investigator also assesses it as a possible UP under 5.8.5.</w:t>
      </w:r>
    </w:p>
    <w:p>
      <w:pPr>
        <w:tabs>
          <w:tab w:pos="648" w:val="left"/>
        </w:tabs>
        <w:ind w:left="648" w:hanging="648"/>
      </w:pPr>
      <w:r>
        <w:rPr>
          <w:b/>
        </w:rPr>
        <w:t>5.2.2</w:t>
        <w:tab/>
      </w:r>
      <w:r>
        <w:rPr>
          <w:b w:val="0"/>
        </w:rPr>
        <w:t>At every visit and contact, the CRC or investigator asks an open, non-leading question about the participant's health since the last contact, then about medical visits, hospital stays and medication changes; the CRC checks results, diaries, ePRO alerts, outside records and IP or device returns.</w:t>
      </w:r>
    </w:p>
    <w:p>
      <w:pPr>
        <w:tabs>
          <w:tab w:pos="648" w:val="left"/>
        </w:tabs>
        <w:ind w:left="648" w:hanging="648"/>
      </w:pPr>
      <w:r>
        <w:rPr>
          <w:b/>
        </w:rPr>
        <w:t>5.2.3</w:t>
        <w:tab/>
      </w:r>
      <w:r>
        <w:rPr>
          <w:b w:val="0"/>
        </w:rPr>
        <w:t>Staff who learn of safety information between visits record it in source the same day (date, time, source) and inform the CRC or an investigator; a possible SAE goes to an investigator immediately (5.5).</w:t>
      </w:r>
    </w:p>
    <w:p>
      <w:pPr>
        <w:tabs>
          <w:tab w:pos="648" w:val="left"/>
        </w:tabs>
        <w:ind w:left="648" w:hanging="648"/>
      </w:pPr>
      <w:r>
        <w:rPr>
          <w:b/>
        </w:rPr>
        <w:t>5.2.4</w:t>
        <w:tab/>
      </w:r>
      <w:r>
        <w:rPr>
          <w:b w:val="0"/>
        </w:rPr>
        <w:t>The CRC records the AE as a diagnosis where known; otherwise each sign or symptom is recorded and later updated to the diagnosis as the sponsor's CRF instructions direct.</w:t>
      </w:r>
    </w:p>
    <w:p>
      <w:pPr>
        <w:tabs>
          <w:tab w:pos="648" w:val="left"/>
        </w:tabs>
        <w:ind w:left="648" w:hanging="648"/>
      </w:pPr>
      <w:r>
        <w:rPr>
          <w:b/>
        </w:rPr>
        <w:t>5.2.5</w:t>
        <w:tab/>
      </w:r>
      <w:r>
        <w:rPr>
          <w:b w:val="0"/>
        </w:rPr>
        <w:t>The source record for each AE shows: term; onset date; how and when the site learned of it; description; seriousness, severity and causality with the investigator's signature and date; action taken with the IP and treatment; outcome and stop date. F-500-01 is used unless the EHR or eSource captures every element with an investigator signature (SOP-07).</w:t>
      </w:r>
    </w:p>
    <w:p>
      <w:pPr>
        <w:tabs>
          <w:tab w:pos="648" w:val="left"/>
        </w:tabs>
        <w:ind w:left="648" w:hanging="648"/>
      </w:pPr>
      <w:r>
        <w:rPr>
          <w:b/>
        </w:rPr>
        <w:t>5.2.6</w:t>
        <w:tab/>
      </w:r>
      <w:r>
        <w:rPr>
          <w:b w:val="0"/>
        </w:rPr>
        <w:t>The CRC enters AE data in EDC within the SOP-07 timeline, consistent with related records (medications, dosing, discontinuation).</w:t>
      </w:r>
    </w:p>
    <w:p>
      <w:pPr>
        <w:tabs>
          <w:tab w:pos="648" w:val="left"/>
        </w:tabs>
        <w:ind w:left="648" w:hanging="648"/>
      </w:pPr>
      <w:r>
        <w:rPr>
          <w:b/>
        </w:rPr>
        <w:t>5.2.7</w:t>
        <w:tab/>
      </w:r>
      <w:r>
        <w:rPr>
          <w:b w:val="0"/>
        </w:rPr>
        <w:t>The CRC follows each AE until it resolves, stabilizes, is explained, the participant is lost to follow-up, or protocol follow-up ends. Where the protocol requires no further follow-up of an ongoing AE, the investigator records the arrangement for ongoing care. An AE that becomes serious is reported under 5.5 from the date the site learned it met SAE criteria.</w:t>
      </w:r>
    </w:p>
    <w:p>
      <w:pPr>
        <w:pStyle w:val="Heading2"/>
      </w:pPr>
      <w:r>
        <w:t>5.3 Abnormal results</w:t>
      </w:r>
    </w:p>
    <w:p>
      <w:pPr>
        <w:tabs>
          <w:tab w:pos="648" w:val="left"/>
        </w:tabs>
        <w:ind w:left="648" w:hanging="648"/>
      </w:pPr>
      <w:r>
        <w:rPr>
          <w:b/>
        </w:rPr>
        <w:t>5.3.1</w:t>
        <w:tab/>
      </w:r>
      <w:r>
        <w:rPr>
          <w:b w:val="0"/>
        </w:rPr>
        <w:t>The CRC routes each test report to an investigator on receipt; critical values are phoned to an investigator the same day, with the time and action recorded. The investigator marks each out-of-range value clinically significant (CS) or not (NCS) and signs and dates the report within the result-review timing in SOP-02.</w:t>
      </w:r>
    </w:p>
    <w:p>
      <w:pPr>
        <w:tabs>
          <w:tab w:pos="648" w:val="left"/>
        </w:tabs>
        <w:ind w:left="648" w:hanging="648"/>
      </w:pPr>
      <w:r>
        <w:rPr>
          <w:b/>
        </w:rPr>
        <w:t>5.3.2</w:t>
        <w:tab/>
      </w:r>
      <w:r>
        <w:rPr>
          <w:b w:val="0"/>
        </w:rPr>
        <w:t>A CS value is recorded as an AE (as a diagnosis where one explains it) unless it is part of a recorded condition that has not worsened or the protocol states otherwise. Protocol thresholds (for example Hy's Law or QTc limits) are handled as the protocol directs.</w:t>
      </w:r>
    </w:p>
    <w:p>
      <w:pPr>
        <w:pStyle w:val="Heading2"/>
      </w:pPr>
      <w:r>
        <w:t>5.4 Investigator assessment and medical care</w:t>
      </w:r>
    </w:p>
    <w:p>
      <w:pPr>
        <w:tabs>
          <w:tab w:pos="648" w:val="left"/>
        </w:tabs>
        <w:ind w:left="648" w:hanging="648"/>
      </w:pPr>
      <w:r>
        <w:rPr>
          <w:b/>
        </w:rPr>
        <w:t>5.4.1</w:t>
        <w:tab/>
      </w:r>
      <w:r>
        <w:rPr>
          <w:b w:val="0"/>
        </w:rPr>
        <w:t>For each AE, an investigator delegated for AE assessment records on F-500-01 or in source: seriousness and criterion, severity, causality to the IP (and procedures where asked), action taken with the IP, treatment and outcome. A CRC entry is provisional until the investigator signs it.</w:t>
      </w:r>
    </w:p>
    <w:p>
      <w:pPr>
        <w:tabs>
          <w:tab w:pos="648" w:val="left"/>
        </w:tabs>
        <w:ind w:left="648" w:hanging="648"/>
      </w:pPr>
      <w:r>
        <w:rPr>
          <w:b/>
        </w:rPr>
        <w:t>5.4.2</w:t>
        <w:tab/>
      </w:r>
      <w:r>
        <w:rPr>
          <w:b w:val="0"/>
        </w:rPr>
        <w:t>The investigator bases causality on timing, plausibility, the RSI, dechallenge and rechallenge, and alternative causes, assesses as if the participant received active product, and does not unblind to assess causality (SOP-05). Expectedness is recorded where the protocol or CRF asks.</w:t>
      </w:r>
    </w:p>
    <w:p>
      <w:pPr>
        <w:tabs>
          <w:tab w:pos="648" w:val="left"/>
        </w:tabs>
        <w:ind w:left="648" w:hanging="648"/>
      </w:pPr>
      <w:r>
        <w:rPr>
          <w:b/>
        </w:rPr>
        <w:t>5.4.3</w:t>
        <w:tab/>
      </w:r>
      <w:r>
        <w:rPr>
          <w:b w:val="0"/>
        </w:rPr>
        <w:t>The investigator changes an assessment in response to a sponsor query only on their own medical judgment, recording the reason in source; a disagreement is recorded on F-306-01.</w:t>
      </w:r>
    </w:p>
    <w:p>
      <w:pPr>
        <w:tabs>
          <w:tab w:pos="648" w:val="left"/>
        </w:tabs>
        <w:ind w:left="648" w:hanging="648"/>
      </w:pPr>
      <w:r>
        <w:rPr>
          <w:b/>
        </w:rPr>
        <w:t>5.4.4</w:t>
        <w:tab/>
      </w:r>
      <w:r>
        <w:rPr>
          <w:b w:val="0"/>
        </w:rPr>
        <w:t>The investigator arranges adequate medical care for any trial-related AE, during and after participation, and tells the participant when an intercurrent illness needs care; with the participant's agreement, recorded in source, the investigator informs the primary physician (ICH E6(R3) Annex 1, 2.7.1).</w:t>
      </w:r>
    </w:p>
    <w:p>
      <w:pPr>
        <w:tabs>
          <w:tab w:pos="648" w:val="left"/>
        </w:tabs>
        <w:ind w:left="648" w:hanging="648"/>
      </w:pPr>
      <w:r>
        <w:rPr>
          <w:b/>
        </w:rPr>
        <w:t>5.4.5</w:t>
        <w:tab/>
      </w:r>
      <w:r>
        <w:rPr>
          <w:b w:val="0"/>
        </w:rPr>
        <w:t>Each participant receives a wallet card with 24-hour investigator contact details (</w:t>
      </w:r>
      <w:r>
        <w:rPr>
          <w:b w:val="0"/>
          <w:highlight w:val="yellow"/>
        </w:rPr>
        <w:t>[AFTER-HOURS ARRANGEMENT]</w:t>
      </w:r>
      <w:r>
        <w:rPr>
          <w:b w:val="0"/>
        </w:rPr>
        <w:t>, SOP-16) and the instruction to seek emergency care first. The Site Director tests the line when set up or changed and records the test.</w:t>
      </w:r>
    </w:p>
    <w:p>
      <w:pPr>
        <w:pStyle w:val="Heading2"/>
      </w:pPr>
      <w:r>
        <w:t>5.5 SAE reporting to the sponsor</w:t>
      </w:r>
    </w:p>
    <w:p>
      <w:pPr>
        <w:tabs>
          <w:tab w:pos="648" w:val="left"/>
        </w:tabs>
        <w:ind w:left="648" w:hanging="648"/>
      </w:pPr>
      <w:r>
        <w:rPr>
          <w:b/>
        </w:rPr>
        <w:t>5.5.1</w:t>
        <w:tab/>
      </w:r>
      <w:r>
        <w:rPr>
          <w:b w:val="0"/>
        </w:rPr>
        <w:t>The investigator must immediately report to the sponsor any SAE, whether or not considered drug related, including those listed in the protocol or investigator's brochure, with an assessment of whether there is a reasonable possibility that the drug caused it; SAEs that are study endpoints are reported as the protocol specifies unless there is evidence suggesting a causal relationship, in which case they are reported immediately (21 CFR 312.64(b)). Non-serious AEs are recorded and reported on the protocol timetable.</w:t>
      </w:r>
    </w:p>
    <w:p>
      <w:pPr>
        <w:tabs>
          <w:tab w:pos="648" w:val="left"/>
        </w:tabs>
        <w:ind w:left="648" w:hanging="648"/>
      </w:pPr>
      <w:r>
        <w:rPr>
          <w:b/>
        </w:rPr>
        <w:t>5.5.2</w:t>
        <w:tab/>
      </w:r>
      <w:r>
        <w:rPr>
          <w:b w:val="0"/>
        </w:rPr>
        <w:t>Day 0 is the awareness date (Section 4), including after hours, not the date the CRC or PI reviewed it.</w:t>
      </w:r>
    </w:p>
    <w:p>
      <w:pPr>
        <w:tabs>
          <w:tab w:pos="648" w:val="left"/>
        </w:tabs>
        <w:ind w:left="648" w:hanging="648"/>
      </w:pPr>
      <w:r>
        <w:rPr>
          <w:b/>
        </w:rPr>
        <w:t>5.5.3</w:t>
        <w:tab/>
      </w:r>
      <w:r>
        <w:rPr>
          <w:b w:val="0"/>
        </w:rPr>
        <w:t>The investigator decides whether the event meets any SAE criterion, including important medical event. When in doubt, it is serious; seriousness is never downgraded to avoid a report. The protocol decides whether an emergency visit, observation stay or planned procedure counts as hospitalization.</w:t>
      </w:r>
    </w:p>
    <w:p>
      <w:pPr>
        <w:tabs>
          <w:tab w:pos="648" w:val="left"/>
        </w:tabs>
        <w:ind w:left="648" w:hanging="648"/>
      </w:pPr>
      <w:r>
        <w:rPr>
          <w:b/>
        </w:rPr>
        <w:t>5.5.4</w:t>
        <w:tab/>
      </w:r>
      <w:r>
        <w:rPr>
          <w:b w:val="0"/>
        </w:rPr>
        <w:t>The CRC submits the initial report within the protocol timeline from Day 0, even if information is incomplete, by the sponsor's method or its backup if the system is down. An investigator assesses seriousness and causality and reviews the report before or at submission.</w:t>
      </w:r>
    </w:p>
    <w:p>
      <w:pPr>
        <w:tabs>
          <w:tab w:pos="648" w:val="left"/>
        </w:tabs>
        <w:ind w:left="648" w:hanging="648"/>
      </w:pPr>
      <w:r>
        <w:rPr>
          <w:b/>
        </w:rPr>
        <w:t>5.5.5</w:t>
        <w:tab/>
      </w:r>
      <w:r>
        <w:rPr>
          <w:b w:val="0"/>
        </w:rPr>
        <w:t>If no investigator can be reached within the protocol timeline, a delegated CRC may submit the initial report without causality, only after documented attempts to reach the PI and every delegated Sub-I and only if the sponsor's procedure accepts a pending assessment. The investigator adds causality by follow-up report the same day they are reached.</w:t>
      </w:r>
    </w:p>
    <w:p>
      <w:pPr>
        <w:tabs>
          <w:tab w:pos="648" w:val="left"/>
        </w:tabs>
        <w:ind w:left="648" w:hanging="648"/>
      </w:pPr>
      <w:r>
        <w:rPr>
          <w:b/>
        </w:rPr>
        <w:t>5.5.6</w:t>
        <w:tab/>
      </w:r>
      <w:r>
        <w:rPr>
          <w:b w:val="0"/>
        </w:rPr>
        <w:t>The CRC completes every F-501-01 field for the SAE, files the report and acknowledgment where F-204-01 specifies (SOP-03), and enters the event as an AE in EDC.</w:t>
      </w:r>
    </w:p>
    <w:p>
      <w:pPr>
        <w:tabs>
          <w:tab w:pos="648" w:val="left"/>
        </w:tabs>
        <w:ind w:left="648" w:hanging="648"/>
      </w:pPr>
      <w:r>
        <w:rPr>
          <w:b/>
        </w:rPr>
        <w:t>5.5.7</w:t>
        <w:tab/>
      </w:r>
      <w:r>
        <w:rPr>
          <w:b w:val="0"/>
        </w:rPr>
        <w:t>The CRC reports significant new information (diagnosis, outcome, causality change, discharge, death) within the protocol follow-up timeline, answers sponsor queries on time, and follows each SAE to resolution or loss to follow-up. SAEs learned of after study end are reported if the protocol requires or the investigator considers them related.</w:t>
      </w:r>
    </w:p>
    <w:p>
      <w:pPr>
        <w:tabs>
          <w:tab w:pos="648" w:val="left"/>
        </w:tabs>
        <w:ind w:left="648" w:hanging="648"/>
      </w:pPr>
      <w:r>
        <w:rPr>
          <w:b/>
        </w:rPr>
        <w:t>5.5.8</w:t>
        <w:tab/>
      </w:r>
      <w:r>
        <w:rPr>
          <w:b w:val="0"/>
        </w:rPr>
        <w:t>For a death, the event term is the cause where known. The CRC requests the death certificate, autopsy report and terminal records, and the investigator supplies information the sponsor or IRB requests (ICH E6(R3) Annex 1, 2.7.2(c)). Staff do not press relatives.</w:t>
      </w:r>
    </w:p>
    <w:p>
      <w:pPr>
        <w:tabs>
          <w:tab w:pos="648" w:val="left"/>
        </w:tabs>
        <w:ind w:left="648" w:hanging="648"/>
      </w:pPr>
      <w:r>
        <w:rPr>
          <w:b/>
        </w:rPr>
        <w:t>5.5.9</w:t>
        <w:tab/>
      </w:r>
      <w:r>
        <w:rPr>
          <w:b w:val="0"/>
        </w:rPr>
        <w:t>The CRC requests outside records under the participant's HIPAA authorization; an investigator reviews and signs them; copies to the sponsor follow SOP-12 redaction. For an admission elsewhere, an investigator gives the treating team trial information (IP, unblinding route, sponsor 24-hour contact) where appropriate.</w:t>
      </w:r>
    </w:p>
    <w:p>
      <w:pPr>
        <w:pStyle w:val="Heading2"/>
      </w:pPr>
      <w:r>
        <w:t>5.6 Investigational devices</w:t>
      </w:r>
    </w:p>
    <w:p>
      <w:pPr>
        <w:tabs>
          <w:tab w:pos="648" w:val="left"/>
        </w:tabs>
        <w:ind w:left="648" w:hanging="648"/>
      </w:pPr>
      <w:r>
        <w:rPr>
          <w:b/>
        </w:rPr>
        <w:t>5.6.1</w:t>
        <w:tab/>
      </w:r>
      <w:r>
        <w:rPr>
          <w:b w:val="0"/>
        </w:rPr>
        <w:t>The investigator assesses each AE for relationship to the device and, where the protocol asks, to the procedure. Records of adverse device effects form part of each participant's case history (21 CFR 812.140(a)(3)(ii)).</w:t>
      </w:r>
    </w:p>
    <w:p>
      <w:pPr>
        <w:tabs>
          <w:tab w:pos="648" w:val="left"/>
        </w:tabs>
        <w:ind w:left="648" w:hanging="648"/>
      </w:pPr>
      <w:r>
        <w:rPr>
          <w:b/>
        </w:rPr>
        <w:t>5.6.2</w:t>
        <w:tab/>
      </w:r>
      <w:r>
        <w:rPr>
          <w:b w:val="0"/>
        </w:rPr>
        <w:t>Staff record every device deficiency, whether or not it caused an AE (device identifier, lot or serial number, date, description, and whether it led or could have led to a serious adverse device effect) and report it to the sponsor within the protocol timeline. The device is labeled "Do Not Use", segregated and returned as the sponsor instructs (SOP-06), never discarded or repaired.</w:t>
      </w:r>
    </w:p>
    <w:p>
      <w:pPr>
        <w:tabs>
          <w:tab w:pos="648" w:val="left"/>
        </w:tabs>
        <w:ind w:left="648" w:hanging="648"/>
      </w:pPr>
      <w:r>
        <w:rPr>
          <w:b/>
        </w:rPr>
        <w:t>5.6.3</w:t>
        <w:tab/>
      </w:r>
      <w:r>
        <w:rPr>
          <w:b w:val="0"/>
        </w:rPr>
        <w:t>If an event may be a UADE, the investigator (the CRC preparing the submission) reports it to the sponsor and reviewing IRB as soon as possible and no later than 10 working days after first learning of it (21 CFR 812.150(a)(1)). Where the sponsor makes the UADE determination, the CRC confirms in writing which party submits to the IRB and files the confirmation; without confirmation, the site submits.</w:t>
      </w:r>
    </w:p>
    <w:p>
      <w:pPr>
        <w:tabs>
          <w:tab w:pos="648" w:val="left"/>
        </w:tabs>
        <w:ind w:left="648" w:hanging="648"/>
      </w:pPr>
      <w:r>
        <w:rPr>
          <w:b/>
        </w:rPr>
        <w:t>5.6.4</w:t>
        <w:tab/>
      </w:r>
      <w:r>
        <w:rPr>
          <w:b w:val="0"/>
        </w:rPr>
        <w:t>If the sponsor terminates the investigation because of a UADE presenting unreasonable risk, the PI stops device use immediately, except where stopping would itself endanger a participant, and follows SOP-15.</w:t>
      </w:r>
    </w:p>
    <w:p>
      <w:pPr>
        <w:pStyle w:val="Heading2"/>
      </w:pPr>
      <w:r>
        <w:t>5.7 Sponsor safety reports</w:t>
      </w:r>
    </w:p>
    <w:p>
      <w:pPr>
        <w:tabs>
          <w:tab w:pos="648" w:val="left"/>
        </w:tabs>
        <w:ind w:left="648" w:hanging="648"/>
      </w:pPr>
      <w:r>
        <w:rPr>
          <w:b/>
        </w:rPr>
        <w:t>5.7.1</w:t>
        <w:tab/>
      </w:r>
      <w:r>
        <w:rPr>
          <w:b w:val="0"/>
        </w:rPr>
        <w:t xml:space="preserve">The Regulatory Coordinator logs each IND safety report, SUSAR letter, device safety notice, Dear Investigator letter and line listing on receipt and routes it to the PI the same day. The PI, or the covering investigator under SOP-16 when the PI is unavailable, reviews each IND safety report within </w:t>
      </w:r>
      <w:r>
        <w:rPr>
          <w:b w:val="0"/>
          <w:highlight w:val="green"/>
        </w:rPr>
        <w:t>[DEFAULT: 2 business days]</w:t>
      </w:r>
      <w:r>
        <w:rPr>
          <w:b w:val="0"/>
        </w:rPr>
        <w:t xml:space="preserve"> of receipt, and always in time for the Regulatory Coordinator to submit within the IRB's window recorded on the F-502-01 IRB page; urgent safety notices are reviewed the same day. Where the sponsor submits on the investigator's behalf, the site files the confirmation (5.7.3).</w:t>
      </w:r>
    </w:p>
    <w:p>
      <w:pPr>
        <w:tabs>
          <w:tab w:pos="648" w:val="left"/>
        </w:tabs>
        <w:ind w:left="648" w:hanging="648"/>
      </w:pPr>
      <w:r>
        <w:rPr>
          <w:b/>
        </w:rPr>
        <w:t>5.7.2</w:t>
        <w:tab/>
      </w:r>
      <w:r>
        <w:rPr>
          <w:b w:val="0"/>
        </w:rPr>
        <w:t>The PI records the review (signature and date, or portal acknowledgment) and decides whether any participant needs immediate action, whether participants must be told and reconsented (SOP-04), and whether the information is reportable to the IRB.</w:t>
      </w:r>
    </w:p>
    <w:p>
      <w:pPr>
        <w:tabs>
          <w:tab w:pos="648" w:val="left"/>
        </w:tabs>
        <w:ind w:left="648" w:hanging="648"/>
      </w:pPr>
      <w:r>
        <w:rPr>
          <w:b/>
        </w:rPr>
        <w:t>5.7.3</w:t>
        <w:tab/>
      </w:r>
      <w:r>
        <w:rPr>
          <w:b w:val="0"/>
        </w:rPr>
        <w:t>IND safety reports are UPs the investigator must submit to the IRB (21 CFR 312.66; FDA December 2025 guidance). Where the protocol or sponsor states that the sponsor submits them to the IRB on the investigator's behalf, the Regulatory Coordinator files the sponsor's confirmation for each report, records the arrangement on F-502-01 and sends no duplicate. Where the IRB states in writing that it does not accept them, the Regulatory Coordinator files that instruction with F-502-01. Otherwise the Regulatory Coordinator submits each report under 5.8. Other sponsor safety information goes to the IRB when the IRB's policy requires it.</w:t>
      </w:r>
    </w:p>
    <w:p>
      <w:pPr>
        <w:tabs>
          <w:tab w:pos="648" w:val="left"/>
        </w:tabs>
        <w:ind w:left="648" w:hanging="648"/>
      </w:pPr>
      <w:r>
        <w:rPr>
          <w:b/>
        </w:rPr>
        <w:t>5.7.4</w:t>
        <w:tab/>
      </w:r>
      <w:r>
        <w:rPr>
          <w:b w:val="0"/>
        </w:rPr>
        <w:t>Urgent sponsor safety measures (for example a dosing hold) are carried out on receipt, recorded and reported under 5.8.</w:t>
      </w:r>
    </w:p>
    <w:p>
      <w:pPr>
        <w:tabs>
          <w:tab w:pos="648" w:val="left"/>
        </w:tabs>
        <w:ind w:left="648" w:hanging="648"/>
      </w:pPr>
      <w:r>
        <w:rPr>
          <w:b/>
        </w:rPr>
        <w:t>5.7.5</w:t>
        <w:tab/>
      </w:r>
      <w:r>
        <w:rPr>
          <w:b w:val="0"/>
        </w:rPr>
        <w:t>Reports and acknowledgments are filed in the ISF or an agreed sponsor portal (SOP-03).</w:t>
      </w:r>
    </w:p>
    <w:p>
      <w:pPr>
        <w:pStyle w:val="Heading2"/>
      </w:pPr>
      <w:r>
        <w:t>5.8 Reporting to the IRB</w:t>
      </w:r>
    </w:p>
    <w:p>
      <w:pPr>
        <w:tabs>
          <w:tab w:pos="648" w:val="left"/>
        </w:tabs>
        <w:ind w:left="648" w:hanging="648"/>
      </w:pPr>
      <w:r>
        <w:rPr>
          <w:b/>
        </w:rPr>
        <w:t>5.8.1</w:t>
        <w:tab/>
      </w:r>
      <w:r>
        <w:rPr>
          <w:b w:val="0"/>
        </w:rPr>
        <w:t>The investigator must promptly report to the IRB all unanticipated problems involving risks to participants or others (21 CFR 312.66). SAEs do not automatically go to the IRB: site AEs that are not the subject of an IND safety report are reported only when the PI determines they are UPs or the IRB's policy lists them. Events outside IND safety reporting criteria are still assessed as possible UPs under 5.8.5 (FDA December 2025 guidance, section VI), including:</w:t>
      </w:r>
    </w:p>
    <w:p>
      <w:pPr>
        <w:pStyle w:val="ListBullet"/>
        <w:spacing w:after="40"/>
        <w:ind w:left="1008" w:hanging="259"/>
      </w:pPr>
      <w:r>
        <w:rPr>
          <w:b w:val="0"/>
        </w:rPr>
        <w:t>serious unexpected events before IP administration, during a washout, or attributable to a screening procedure</w:t>
      </w:r>
    </w:p>
    <w:p>
      <w:pPr>
        <w:pStyle w:val="ListBullet"/>
        <w:spacing w:after="40"/>
        <w:ind w:left="1008" w:hanging="259"/>
      </w:pPr>
      <w:r>
        <w:rPr>
          <w:b w:val="0"/>
        </w:rPr>
        <w:t>medication errors</w:t>
      </w:r>
    </w:p>
    <w:p>
      <w:pPr>
        <w:pStyle w:val="ListBullet"/>
        <w:spacing w:after="40"/>
        <w:ind w:left="1008" w:hanging="259"/>
      </w:pPr>
      <w:r>
        <w:rPr>
          <w:b w:val="0"/>
        </w:rPr>
        <w:t>breaches of privacy or confidentiality, and untimely destruction of study records</w:t>
      </w:r>
    </w:p>
    <w:p>
      <w:pPr>
        <w:pStyle w:val="ListBullet"/>
        <w:spacing w:after="40"/>
        <w:ind w:left="1008" w:hanging="259"/>
      </w:pPr>
      <w:r>
        <w:rPr>
          <w:b w:val="0"/>
        </w:rPr>
        <w:t>any SAE in an IND-exempt BA/BE study, which is a UP</w:t>
      </w:r>
    </w:p>
    <w:p>
      <w:pPr>
        <w:tabs>
          <w:tab w:pos="648" w:val="left"/>
        </w:tabs>
        <w:ind w:left="648" w:hanging="648"/>
      </w:pPr>
      <w:r>
        <w:rPr>
          <w:b/>
        </w:rPr>
        <w:t>5.8.2</w:t>
        <w:tab/>
      </w:r>
      <w:r>
        <w:rPr>
          <w:b w:val="0"/>
        </w:rPr>
        <w:t>Device investigator reports (21 CFR 812.150(a)) go to the sponsor and IRB unless stated. This is the single list other SOPs point to:</w:t>
      </w:r>
    </w:p>
    <w:p>
      <w:pPr>
        <w:pStyle w:val="ListBullet"/>
        <w:spacing w:after="40"/>
        <w:ind w:left="1008" w:hanging="259"/>
      </w:pPr>
      <w:r>
        <w:rPr>
          <w:b w:val="0"/>
        </w:rPr>
        <w:t>(a)(1) UADE: as soon as possible, no later than 10 working days after first learning of it (5.6.3)</w:t>
      </w:r>
    </w:p>
    <w:p>
      <w:pPr>
        <w:pStyle w:val="ListBullet"/>
        <w:spacing w:after="40"/>
        <w:ind w:left="1008" w:hanging="259"/>
      </w:pPr>
      <w:r>
        <w:rPr>
          <w:b w:val="0"/>
        </w:rPr>
        <w:t>(a)(2) withdrawal of IRB approval: to the sponsor within 5 working days</w:t>
      </w:r>
    </w:p>
    <w:p>
      <w:pPr>
        <w:pStyle w:val="ListBullet"/>
        <w:spacing w:after="40"/>
        <w:ind w:left="1008" w:hanging="259"/>
      </w:pPr>
      <w:r>
        <w:rPr>
          <w:b w:val="0"/>
        </w:rPr>
        <w:t>(a)(3) progress reports: to sponsor, monitor and IRB at least yearly</w:t>
      </w:r>
    </w:p>
    <w:p>
      <w:pPr>
        <w:pStyle w:val="ListBullet"/>
        <w:spacing w:after="40"/>
        <w:ind w:left="1008" w:hanging="259"/>
      </w:pPr>
      <w:r>
        <w:rPr>
          <w:b w:val="0"/>
        </w:rPr>
        <w:t>(a)(4) emergency deviation from the investigational plan to protect a participant: as soon as possible, no later than 5 working days after the emergency</w:t>
      </w:r>
    </w:p>
    <w:p>
      <w:pPr>
        <w:pStyle w:val="ListBullet"/>
        <w:spacing w:after="40"/>
        <w:ind w:left="1008" w:hanging="259"/>
      </w:pPr>
      <w:r>
        <w:rPr>
          <w:b w:val="0"/>
        </w:rPr>
        <w:t>(a)(5) device use without informed consent: within 5 working days after the use</w:t>
      </w:r>
    </w:p>
    <w:p>
      <w:pPr>
        <w:pStyle w:val="ListBullet"/>
        <w:spacing w:after="40"/>
        <w:ind w:left="1008" w:hanging="259"/>
      </w:pPr>
      <w:r>
        <w:rPr>
          <w:b w:val="0"/>
        </w:rPr>
        <w:t>(a)(6) final report: within 3 months after termination or completion</w:t>
      </w:r>
    </w:p>
    <w:p>
      <w:pPr>
        <w:tabs>
          <w:tab w:pos="648" w:val="left"/>
        </w:tabs>
        <w:ind w:left="648" w:hanging="648"/>
      </w:pPr>
      <w:r>
        <w:rPr>
          <w:b/>
        </w:rPr>
        <w:t>5.8.3</w:t>
        <w:tab/>
      </w:r>
      <w:r>
        <w:rPr>
          <w:b w:val="0"/>
        </w:rPr>
        <w:t>The IRB's own list, recorded on F-502-01 (5.1.2), governs. It usually covers UPs, IND safety reports (5.7.3), UADEs, harmful deviations, immediate-hazard changes, possible serious or continuing noncompliance, inspections (for example Form FDA 483), incarceration of a participant and continuity events (SOP-16).</w:t>
      </w:r>
    </w:p>
    <w:p>
      <w:pPr>
        <w:tabs>
          <w:tab w:pos="648" w:val="left"/>
        </w:tabs>
        <w:ind w:left="648" w:hanging="648"/>
      </w:pPr>
      <w:r>
        <w:rPr>
          <w:b/>
        </w:rPr>
        <w:t>5.8.4</w:t>
        <w:tab/>
      </w:r>
      <w:r>
        <w:rPr>
          <w:b w:val="0"/>
        </w:rPr>
        <w:t>Any staff member aware of possibly reportable information tells the Regulatory Coordinator and PI the same day. The awareness date is the date any research staff member first received it. The Regulatory Coordinator opens F-502-01 with the awareness date, description and source.</w:t>
      </w:r>
    </w:p>
    <w:p>
      <w:pPr>
        <w:tabs>
          <w:tab w:pos="648" w:val="left"/>
        </w:tabs>
        <w:ind w:left="648" w:hanging="648"/>
      </w:pPr>
      <w:r>
        <w:rPr>
          <w:b/>
        </w:rPr>
        <w:t>5.8.5</w:t>
        <w:tab/>
      </w:r>
      <w:r>
        <w:rPr>
          <w:b w:val="0"/>
        </w:rPr>
        <w:t>The PI (or a delegated Sub-I for medical events) assesses the information on F-502-01. For a possible UP, the PI answers and records each question: unexpected, related or possibly related, greater risk than known. All three yes means it is a UP; otherwise the PI records the rationale and checks the other categories. If the sponsor has concluded an event is a UP or requires a protocol or consent change, the PI treats it as reportable. The PI signs and dates the determination in time to submit within the IRB window.</w:t>
      </w:r>
    </w:p>
    <w:p>
      <w:pPr>
        <w:tabs>
          <w:tab w:pos="648" w:val="left"/>
        </w:tabs>
        <w:ind w:left="648" w:hanging="648"/>
      </w:pPr>
      <w:r>
        <w:rPr>
          <w:b/>
        </w:rPr>
        <w:t>5.8.6</w:t>
        <w:tab/>
      </w:r>
      <w:r>
        <w:rPr>
          <w:b w:val="0"/>
        </w:rPr>
        <w:t>The Regulatory Coordinator informs the sponsor of any reportable event before or at IRB submission, unless it concerns the sponsor's own conduct and the PI decides otherwise. Where the sponsor submits some categories for all sites, the Regulatory Coordinator files written confirmation; site-specific events remain the site's to report. The PI's determination governs without waiting for sponsor agreement; any disagreement is recorded on F-502-01.</w:t>
      </w:r>
    </w:p>
    <w:p>
      <w:pPr>
        <w:tabs>
          <w:tab w:pos="648" w:val="left"/>
        </w:tabs>
        <w:ind w:left="648" w:hanging="648"/>
      </w:pPr>
      <w:r>
        <w:rPr>
          <w:b/>
        </w:rPr>
        <w:t>5.8.7</w:t>
        <w:tab/>
      </w:r>
      <w:r>
        <w:rPr>
          <w:b w:val="0"/>
        </w:rPr>
        <w:t>After PI approval, the Regulatory Coordinator submits on the IRB's form the facts and awareness date, the PI's assessment, actions taken or planned, and whether the sponsor was informed, using participant IDs only. Incomplete information is submitted as known by the deadline and followed up. The Regulatory Coordinator records the submission date on F-502-01, files the IRB determination in the ISF, and tracks each IRB-required action until closed.</w:t>
      </w:r>
    </w:p>
    <w:p>
      <w:pPr>
        <w:tabs>
          <w:tab w:pos="648" w:val="left"/>
        </w:tabs>
        <w:ind w:left="648" w:hanging="648"/>
      </w:pPr>
      <w:r>
        <w:rPr>
          <w:b/>
        </w:rPr>
        <w:t>5.8.8</w:t>
        <w:tab/>
      </w:r>
      <w:r>
        <w:rPr>
          <w:b w:val="0"/>
        </w:rPr>
        <w:t xml:space="preserve">Where the IRB finds serious or continuing noncompliance, or suspends or terminates approval, the PI informs the sponsor </w:t>
      </w:r>
      <w:r>
        <w:rPr>
          <w:b w:val="0"/>
          <w:highlight w:val="green"/>
        </w:rPr>
        <w:t>[DEFAULT: within 1 business day]</w:t>
      </w:r>
      <w:r>
        <w:rPr>
          <w:b w:val="0"/>
        </w:rPr>
        <w:t xml:space="preserve"> (device studies: 5.8.2) and the Quality Lead opens a CAPA (SOP-08).</w:t>
      </w:r>
    </w:p>
    <w:p>
      <w:pPr>
        <w:pStyle w:val="Heading2"/>
      </w:pPr>
      <w:r>
        <w:t>5.9 Immediate hazards</w:t>
      </w:r>
    </w:p>
    <w:p>
      <w:pPr>
        <w:tabs>
          <w:tab w:pos="648" w:val="left"/>
        </w:tabs>
        <w:ind w:left="648" w:hanging="648"/>
      </w:pPr>
      <w:r>
        <w:rPr>
          <w:b/>
        </w:rPr>
        <w:t>5.9.1</w:t>
        <w:tab/>
      </w:r>
      <w:r>
        <w:rPr>
          <w:b w:val="0"/>
        </w:rPr>
        <w:t>Changes made to eliminate an apparent immediate hazard, and their notice to the sponsor and IRB, follow SOP-08, 5.2.</w:t>
      </w:r>
    </w:p>
    <w:p>
      <w:pPr>
        <w:tabs>
          <w:tab w:pos="648" w:val="left"/>
        </w:tabs>
        <w:ind w:left="648" w:hanging="648"/>
      </w:pPr>
      <w:r>
        <w:rPr>
          <w:b/>
        </w:rPr>
        <w:t>5.9.2</w:t>
        <w:tab/>
      </w:r>
      <w:r>
        <w:rPr>
          <w:b w:val="0"/>
        </w:rPr>
        <w:t>The PI decides with the sponsor whether to pause enrollment or dosing or contact participants; medically necessary treatment is decided in the participant's best interest.</w:t>
      </w:r>
    </w:p>
    <w:p>
      <w:pPr>
        <w:pStyle w:val="Heading2"/>
      </w:pPr>
      <w:r>
        <w:t>5.10 Pregnancy</w:t>
      </w:r>
    </w:p>
    <w:p>
      <w:pPr>
        <w:tabs>
          <w:tab w:pos="648" w:val="left"/>
        </w:tabs>
        <w:ind w:left="648" w:hanging="648"/>
      </w:pPr>
      <w:r>
        <w:rPr>
          <w:b/>
        </w:rPr>
        <w:t>5.10.1</w:t>
        <w:tab/>
      </w:r>
      <w:r>
        <w:rPr>
          <w:b w:val="0"/>
        </w:rPr>
        <w:t xml:space="preserve">At consent, the CRC or investigator explains the contraception requirements and their duration after the last dose, and tells the participant to call the site at once if a method fails or pregnancy is suspected. The CRC records the counseling and method in source and repeats it at the visits the protocol specifies </w:t>
      </w:r>
      <w:r>
        <w:rPr>
          <w:b w:val="0"/>
          <w:highlight w:val="green"/>
        </w:rPr>
        <w:t>[DEFAULT: and at each on-site visit while on IP]</w:t>
      </w:r>
      <w:r>
        <w:rPr>
          <w:b w:val="0"/>
        </w:rPr>
        <w:t>. An investigator confirms childbearing status and method at eligibility (SOP-05).</w:t>
      </w:r>
    </w:p>
    <w:p>
      <w:pPr>
        <w:tabs>
          <w:tab w:pos="648" w:val="left"/>
        </w:tabs>
        <w:ind w:left="648" w:hanging="648"/>
      </w:pPr>
      <w:r>
        <w:rPr>
          <w:b/>
        </w:rPr>
        <w:t>5.10.2</w:t>
        <w:tab/>
      </w:r>
      <w:r>
        <w:rPr>
          <w:b w:val="0"/>
        </w:rPr>
        <w:t>A pregnancy test required before dosing is reviewed by an investigator before IP is given; on a positive or equivocal result, IP is not given and an investigator is told immediately. On-site pregnancy tests follow the CLIA rules in SOP-11.</w:t>
      </w:r>
    </w:p>
    <w:p>
      <w:pPr>
        <w:tabs>
          <w:tab w:pos="648" w:val="left"/>
        </w:tabs>
        <w:ind w:left="648" w:hanging="648"/>
      </w:pPr>
      <w:r>
        <w:rPr>
          <w:b/>
        </w:rPr>
        <w:t>5.10.3</w:t>
        <w:tab/>
      </w:r>
      <w:r>
        <w:rPr>
          <w:b w:val="0"/>
        </w:rPr>
        <w:t>Staff who learn that a participant may be pregnant inform the CRC and an investigator the same day. The investigator decides IP action as the protocol requires (the IP Manager withholds or retrieves IP, SOP-06), discusses known risks, recommends prenatal care and, with agreement, informs the obstetric provider. Unblinding follows SOP-05, only where it changes care. Continuation off IP follows the protocol and the participant's choice (SOP-10).</w:t>
      </w:r>
    </w:p>
    <w:p>
      <w:pPr>
        <w:tabs>
          <w:tab w:pos="648" w:val="left"/>
        </w:tabs>
        <w:ind w:left="648" w:hanging="648"/>
      </w:pPr>
      <w:r>
        <w:rPr>
          <w:b/>
        </w:rPr>
        <w:t>5.10.4</w:t>
        <w:tab/>
      </w:r>
      <w:r>
        <w:rPr>
          <w:b w:val="0"/>
        </w:rPr>
        <w:t xml:space="preserve">For a partner pregnancy, the CRC records the report and awareness date and informs an investigator. No identifiable partner information is collected, and her providers are not contacted, until she signs the IRB-approved pregnant partner consent and HIPAA authorization. The CRC contacts her only if the participant reports she agrees, unless the IRB-approved process says otherwise; a decline is recorded and nothing further is reported. </w:t>
      </w:r>
      <w:r>
        <w:rPr>
          <w:b w:val="0"/>
          <w:highlight w:val="green"/>
        </w:rPr>
        <w:t>[DEFAULT: Before partner consent, the CRC sends the sponsor an initial notice within the protocol timeline with only the participant ID, IP exposure and the fact of the pregnancy.]</w:t>
      </w:r>
    </w:p>
    <w:p>
      <w:pPr>
        <w:tabs>
          <w:tab w:pos="648" w:val="left"/>
        </w:tabs>
        <w:ind w:left="648" w:hanging="648"/>
      </w:pPr>
      <w:r>
        <w:rPr>
          <w:b/>
        </w:rPr>
        <w:t>5.10.5</w:t>
        <w:tab/>
      </w:r>
      <w:r>
        <w:rPr>
          <w:b w:val="0"/>
        </w:rPr>
        <w:t>The CRC completes the sponsor's pregnancy report within the protocol timeline for an investigator's signature and records submission on F-503-01. Pregnancy itself is not an AE unless the protocol says so; complications and abnormal outcomes are assessed under 5.4 and, where serious (for example congenital anomaly, stillbirth, neonatal death), reported under 5.5. The PI assesses IRB reportability under 5.8.</w:t>
      </w:r>
    </w:p>
    <w:p>
      <w:pPr>
        <w:tabs>
          <w:tab w:pos="648" w:val="left"/>
        </w:tabs>
        <w:ind w:left="648" w:hanging="648"/>
      </w:pPr>
      <w:r>
        <w:rPr>
          <w:b/>
        </w:rPr>
        <w:t>5.10.6</w:t>
        <w:tab/>
      </w:r>
      <w:r>
        <w:rPr>
          <w:b w:val="0"/>
        </w:rPr>
        <w:t xml:space="preserve">The CRC follows each pregnancy to outcome, even after the participant leaves the trial unless agreement is withdrawn, at the protocol intervals </w:t>
      </w:r>
      <w:r>
        <w:rPr>
          <w:b w:val="0"/>
          <w:highlight w:val="green"/>
        </w:rPr>
        <w:t>[DEFAULT: or at least once each trimester and at the estimated due date]</w:t>
      </w:r>
      <w:r>
        <w:rPr>
          <w:b w:val="0"/>
        </w:rPr>
        <w:t>, recording contacts on F-503-01. Obstetric records sent to the sponsor follow SOP-12 redaction. The outcome report is submitted within the protocol timeline; infant follow-up continues as the protocol requires, under consent covering the infant. If the person cannot be reached, the CRC records loss to follow-up and informs the sponsor.</w:t>
      </w:r>
    </w:p>
    <w:p>
      <w:pPr>
        <w:pStyle w:val="Heading2"/>
      </w:pPr>
      <w:r>
        <w:t>5.11 Late reports and review</w:t>
      </w:r>
    </w:p>
    <w:p>
      <w:pPr>
        <w:tabs>
          <w:tab w:pos="648" w:val="left"/>
        </w:tabs>
        <w:ind w:left="648" w:hanging="648"/>
      </w:pPr>
      <w:r>
        <w:rPr>
          <w:b/>
        </w:rPr>
        <w:t>5.11.1</w:t>
        <w:tab/>
      </w:r>
      <w:r>
        <w:rPr>
          <w:b w:val="0"/>
        </w:rPr>
        <w:t>A safety or IRB report made late is recorded as a deviation (SOP-08) with the reason; a late IRB report states the reason.</w:t>
      </w:r>
    </w:p>
    <w:p>
      <w:pPr>
        <w:tabs>
          <w:tab w:pos="648" w:val="left"/>
        </w:tabs>
        <w:ind w:left="648" w:hanging="648"/>
      </w:pPr>
      <w:r>
        <w:rPr>
          <w:b/>
        </w:rPr>
        <w:t>5.11.2</w:t>
        <w:tab/>
      </w:r>
      <w:r>
        <w:rPr>
          <w:b w:val="0"/>
        </w:rPr>
        <w:t>Before each monitoring visit, the CRC reconciles each participant's AE log against concomitant medications, unscheduled visits and CS results.</w:t>
      </w:r>
    </w:p>
    <w:p>
      <w:pPr>
        <w:tabs>
          <w:tab w:pos="648" w:val="left"/>
        </w:tabs>
        <w:ind w:left="648" w:hanging="648"/>
      </w:pPr>
      <w:r>
        <w:rPr>
          <w:b/>
        </w:rPr>
        <w:t>5.11.3</w:t>
        <w:tab/>
      </w:r>
      <w:r>
        <w:rPr>
          <w:b w:val="0"/>
        </w:rPr>
        <w:t>The Quality Lead reviews F-501-01 and F-502-01 for timeliness and open actions at the quarterly quality review (SOP-14) and opens a CAPA where SOP-08 requires.</w:t>
      </w:r>
    </w:p>
    <w:p>
      <w:pPr>
        <w:pStyle w:val="Heading1"/>
      </w:pPr>
      <w:r>
        <w:t>6. Related Forms and SOPs</w:t>
      </w:r>
    </w:p>
    <w:p>
      <w:pPr>
        <w:pStyle w:val="ListBullet"/>
        <w:spacing w:after="40"/>
        <w:ind w:left="360" w:hanging="259"/>
      </w:pPr>
      <w:r>
        <w:rPr>
          <w:b w:val="0"/>
        </w:rPr>
        <w:t>F-500-01 Adverse Event Assessment Worksheet</w:t>
      </w:r>
    </w:p>
    <w:p>
      <w:pPr>
        <w:pStyle w:val="ListBullet"/>
        <w:spacing w:after="40"/>
        <w:ind w:left="360" w:hanging="259"/>
      </w:pPr>
      <w:r>
        <w:rPr>
          <w:b w:val="0"/>
        </w:rPr>
        <w:t>F-501-01 SAE Reporting Tracker</w:t>
      </w:r>
    </w:p>
    <w:p>
      <w:pPr>
        <w:pStyle w:val="ListBullet"/>
        <w:spacing w:after="40"/>
        <w:ind w:left="360" w:hanging="259"/>
      </w:pPr>
      <w:r>
        <w:rPr>
          <w:b w:val="0"/>
        </w:rPr>
        <w:t>F-502-01 Reportable New Information Assessment</w:t>
      </w:r>
    </w:p>
    <w:p>
      <w:pPr>
        <w:pStyle w:val="ListBullet"/>
        <w:spacing w:after="40"/>
        <w:ind w:left="360" w:hanging="259"/>
      </w:pPr>
      <w:r>
        <w:rPr>
          <w:b w:val="0"/>
        </w:rPr>
        <w:t>F-503-01 Pregnancy Report Tracker</w:t>
      </w:r>
    </w:p>
    <w:p>
      <w:pPr>
        <w:pStyle w:val="ListBullet"/>
        <w:spacing w:after="40"/>
        <w:ind w:left="360" w:hanging="259"/>
      </w:pPr>
      <w:r>
        <w:rPr>
          <w:b w:val="0"/>
        </w:rPr>
        <w:t>F-302-01 Delegation of Authority Log</w:t>
      </w:r>
    </w:p>
    <w:p>
      <w:pPr>
        <w:pStyle w:val="ListBullet"/>
        <w:spacing w:after="40"/>
        <w:ind w:left="360" w:hanging="259"/>
      </w:pPr>
      <w:r>
        <w:rPr>
          <w:b w:val="0"/>
        </w:rPr>
        <w:t>F-306-01 Note to File</w:t>
      </w:r>
    </w:p>
    <w:p>
      <w:pPr>
        <w:pStyle w:val="ListBullet"/>
        <w:spacing w:after="40"/>
        <w:ind w:left="360" w:hanging="259"/>
      </w:pPr>
      <w:r>
        <w:rPr>
          <w:b w:val="0"/>
        </w:rPr>
        <w:t>F-204-01 Investigator Site File Index</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SOP-16 Business Continuity and PI Coverage</w:t>
      </w:r>
    </w:p>
    <w:p>
      <w:pPr>
        <w:pStyle w:val="ListBullet"/>
        <w:spacing w:after="40"/>
        <w:ind w:left="360" w:hanging="259"/>
      </w:pPr>
      <w:r>
        <w:rPr>
          <w:b w:val="0"/>
        </w:rPr>
        <w:t>SOP-M6 Sponsor-Investigator Studies (IND/IDE Holder),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312.32</w:t>
            </w:r>
          </w:p>
        </w:tc>
        <w:tc>
          <w:tcPr>
            <w:tcW w:type="dxa" w:w="6946"/>
          </w:tcPr>
          <w:p>
            <w:pPr>
              <w:spacing w:after="0"/>
            </w:pPr>
            <w:r>
              <w:rPr>
                <w:b w:val="0"/>
                <w:sz w:val="19"/>
              </w:rPr>
              <w:t>IND Safety Reporting</w:t>
            </w:r>
          </w:p>
        </w:tc>
      </w:tr>
      <w:tr>
        <w:trPr>
          <w:cantSplit w:val="true"/>
        </w:trPr>
        <w:tc>
          <w:tcPr>
            <w:tcW w:type="dxa" w:w="2701"/>
          </w:tcPr>
          <w:p>
            <w:pPr>
              <w:spacing w:after="0"/>
            </w:pPr>
            <w:r>
              <w:rPr>
                <w:b w:val="0"/>
                <w:sz w:val="19"/>
              </w:rPr>
              <w:t>21 CFR 312.64(b)</w:t>
            </w:r>
          </w:p>
        </w:tc>
        <w:tc>
          <w:tcPr>
            <w:tcW w:type="dxa" w:w="6946"/>
          </w:tcPr>
          <w:p>
            <w:pPr>
              <w:spacing w:after="0"/>
            </w:pPr>
            <w:r>
              <w:rPr>
                <w:b w:val="0"/>
                <w:sz w:val="19"/>
              </w:rPr>
              <w:t>Investigator Reports: Safety Reports</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21 CFR 56.108(b)</w:t>
            </w:r>
          </w:p>
        </w:tc>
        <w:tc>
          <w:tcPr>
            <w:tcW w:type="dxa" w:w="6946"/>
          </w:tcPr>
          <w:p>
            <w:pPr>
              <w:spacing w:after="0"/>
            </w:pPr>
            <w:r>
              <w:rPr>
                <w:b w:val="0"/>
                <w:sz w:val="19"/>
              </w:rPr>
              <w:t>IRB Functions and Operations: Prompt Reporting</w:t>
            </w:r>
          </w:p>
        </w:tc>
      </w:tr>
      <w:tr>
        <w:trPr>
          <w:cantSplit w:val="true"/>
        </w:trPr>
        <w:tc>
          <w:tcPr>
            <w:tcW w:type="dxa" w:w="2701"/>
          </w:tcPr>
          <w:p>
            <w:pPr>
              <w:spacing w:after="0"/>
            </w:pPr>
            <w:r>
              <w:rPr>
                <w:b w:val="0"/>
                <w:sz w:val="19"/>
              </w:rPr>
              <w:t>21 CFR 812.3(s)</w:t>
            </w:r>
          </w:p>
        </w:tc>
        <w:tc>
          <w:tcPr>
            <w:tcW w:type="dxa" w:w="6946"/>
          </w:tcPr>
          <w:p>
            <w:pPr>
              <w:spacing w:after="0"/>
            </w:pPr>
            <w:r>
              <w:rPr>
                <w:b w:val="0"/>
                <w:sz w:val="19"/>
              </w:rPr>
              <w:t>Definition: Unanticipated Adverse Device Effect</w:t>
            </w:r>
          </w:p>
        </w:tc>
      </w:tr>
      <w:tr>
        <w:trPr>
          <w:cantSplit w:val="true"/>
        </w:trPr>
        <w:tc>
          <w:tcPr>
            <w:tcW w:type="dxa" w:w="2701"/>
          </w:tcPr>
          <w:p>
            <w:pPr>
              <w:spacing w:after="0"/>
            </w:pPr>
            <w:r>
              <w:rPr>
                <w:b w:val="0"/>
                <w:sz w:val="19"/>
              </w:rPr>
              <w:t>21 CFR 812.140(a)(3)</w:t>
            </w:r>
          </w:p>
        </w:tc>
        <w:tc>
          <w:tcPr>
            <w:tcW w:type="dxa" w:w="6946"/>
          </w:tcPr>
          <w:p>
            <w:pPr>
              <w:spacing w:after="0"/>
            </w:pPr>
            <w:r>
              <w:rPr>
                <w:b w:val="0"/>
                <w:sz w:val="19"/>
              </w:rPr>
              <w:t>Investigator Records: Case Histories and Adverse Device Effects</w:t>
            </w:r>
          </w:p>
        </w:tc>
      </w:tr>
      <w:tr>
        <w:trPr>
          <w:cantSplit w:val="true"/>
        </w:trPr>
        <w:tc>
          <w:tcPr>
            <w:tcW w:type="dxa" w:w="2701"/>
          </w:tcPr>
          <w:p>
            <w:pPr>
              <w:spacing w:after="0"/>
            </w:pPr>
            <w:r>
              <w:rPr>
                <w:b w:val="0"/>
                <w:sz w:val="19"/>
              </w:rPr>
              <w:t>21 CFR 812.150(a)</w:t>
            </w:r>
          </w:p>
        </w:tc>
        <w:tc>
          <w:tcPr>
            <w:tcW w:type="dxa" w:w="6946"/>
          </w:tcPr>
          <w:p>
            <w:pPr>
              <w:spacing w:after="0"/>
            </w:pPr>
            <w:r>
              <w:rPr>
                <w:b w:val="0"/>
                <w:sz w:val="19"/>
              </w:rPr>
              <w:t>Investigator Reports</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42 CFR 493</w:t>
            </w:r>
          </w:p>
        </w:tc>
        <w:tc>
          <w:tcPr>
            <w:tcW w:type="dxa" w:w="6946"/>
          </w:tcPr>
          <w:p>
            <w:pPr>
              <w:spacing w:after="0"/>
            </w:pPr>
            <w:r>
              <w:rPr>
                <w:b w:val="0"/>
                <w:sz w:val="19"/>
              </w:rPr>
              <w:t>Laboratory Requirements (CLIA)</w:t>
            </w:r>
          </w:p>
        </w:tc>
      </w:tr>
      <w:tr>
        <w:trPr>
          <w:cantSplit w:val="true"/>
        </w:trPr>
        <w:tc>
          <w:tcPr>
            <w:tcW w:type="dxa" w:w="2701"/>
          </w:tcPr>
          <w:p>
            <w:pPr>
              <w:spacing w:after="0"/>
            </w:pPr>
            <w:r>
              <w:rPr>
                <w:b w:val="0"/>
                <w:sz w:val="19"/>
              </w:rPr>
              <w:t>ICH E6(R3) Annex 1, 2.5.4, 2.5.5</w:t>
            </w:r>
          </w:p>
        </w:tc>
        <w:tc>
          <w:tcPr>
            <w:tcW w:type="dxa" w:w="6946"/>
          </w:tcPr>
          <w:p>
            <w:pPr>
              <w:spacing w:after="0"/>
            </w:pPr>
            <w:r>
              <w:rPr>
                <w:b w:val="0"/>
                <w:sz w:val="19"/>
              </w:rPr>
              <w:t>Compliance with Protocol: Immediate Hazards</w:t>
            </w:r>
          </w:p>
        </w:tc>
      </w:tr>
      <w:tr>
        <w:trPr>
          <w:cantSplit w:val="true"/>
        </w:trPr>
        <w:tc>
          <w:tcPr>
            <w:tcW w:type="dxa" w:w="2701"/>
          </w:tcPr>
          <w:p>
            <w:pPr>
              <w:spacing w:after="0"/>
            </w:pPr>
            <w:r>
              <w:rPr>
                <w:b w:val="0"/>
                <w:sz w:val="19"/>
              </w:rPr>
              <w:t>ICH E6(R3) Annex 1, 2.7</w:t>
            </w:r>
          </w:p>
        </w:tc>
        <w:tc>
          <w:tcPr>
            <w:tcW w:type="dxa" w:w="6946"/>
          </w:tcPr>
          <w:p>
            <w:pPr>
              <w:spacing w:after="0"/>
            </w:pPr>
            <w:r>
              <w:rPr>
                <w:b w:val="0"/>
                <w:sz w:val="19"/>
              </w:rPr>
              <w:t>Participant Medical Care and Safety Reporting</w:t>
            </w:r>
          </w:p>
        </w:tc>
      </w:tr>
      <w:tr>
        <w:trPr>
          <w:cantSplit w:val="true"/>
        </w:trPr>
        <w:tc>
          <w:tcPr>
            <w:tcW w:type="dxa" w:w="2701"/>
          </w:tcPr>
          <w:p>
            <w:pPr>
              <w:spacing w:after="0"/>
            </w:pPr>
            <w:r>
              <w:rPr>
                <w:b w:val="0"/>
                <w:sz w:val="19"/>
              </w:rPr>
              <w:t>ICH E2A</w:t>
            </w:r>
          </w:p>
        </w:tc>
        <w:tc>
          <w:tcPr>
            <w:tcW w:type="dxa" w:w="6946"/>
          </w:tcPr>
          <w:p>
            <w:pPr>
              <w:spacing w:after="0"/>
            </w:pPr>
            <w:r>
              <w:rPr>
                <w:b w:val="0"/>
                <w:sz w:val="19"/>
              </w:rPr>
              <w:t>Clinical Safety Data Management: Definitions and Standards for Expedited Reporting</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OHRP Guidance (2007)</w:t>
            </w:r>
          </w:p>
        </w:tc>
        <w:tc>
          <w:tcPr>
            <w:tcW w:type="dxa" w:w="6946"/>
          </w:tcPr>
          <w:p>
            <w:pPr>
              <w:spacing w:after="0"/>
            </w:pPr>
            <w:r>
              <w:rPr>
                <w:b w:val="0"/>
                <w:sz w:val="19"/>
              </w:rPr>
              <w:t>Reviewing and Reporting Unanticipated Problems Involving Risks to Subjects or Others and Adverse Events</w:t>
            </w:r>
          </w:p>
        </w:tc>
      </w:tr>
      <w:tr>
        <w:trPr>
          <w:cantSplit w:val="true"/>
        </w:trPr>
        <w:tc>
          <w:tcPr>
            <w:tcW w:type="dxa" w:w="2701"/>
          </w:tcPr>
          <w:p>
            <w:pPr>
              <w:spacing w:after="0"/>
            </w:pPr>
            <w:r>
              <w:rPr>
                <w:b w:val="0"/>
                <w:sz w:val="19"/>
                <w:highlight w:val="yellow"/>
              </w:rPr>
              <w:t>[CENTRAL IRB NAME]</w:t>
            </w:r>
          </w:p>
        </w:tc>
        <w:tc>
          <w:tcPr>
            <w:tcW w:type="dxa" w:w="6946"/>
          </w:tcPr>
          <w:p>
            <w:pPr>
              <w:spacing w:after="0"/>
            </w:pPr>
            <w:r>
              <w:rPr>
                <w:b w:val="0"/>
                <w:sz w:val="19"/>
              </w:rPr>
              <w:t>Investigator Manual / Reportable New Information Policy (current version)</w:t>
            </w:r>
          </w:p>
        </w:tc>
      </w:tr>
      <w:tr>
        <w:trPr>
          <w:cantSplit w:val="true"/>
        </w:trPr>
        <w:tc>
          <w:tcPr>
            <w:tcW w:type="dxa" w:w="2701"/>
          </w:tcPr>
          <w:p>
            <w:pPr>
              <w:spacing w:after="0"/>
            </w:pPr>
            <w:r>
              <w:rPr>
                <w:b w:val="0"/>
                <w:sz w:val="19"/>
              </w:rPr>
              <w:t>Reference Edition SOP-500, SOP-501, SOP-502, SOP-503</w:t>
            </w:r>
          </w:p>
        </w:tc>
        <w:tc>
          <w:tcPr>
            <w:tcW w:type="dxa" w:w="6946"/>
          </w:tcPr>
          <w:p>
            <w:pPr>
              <w:spacing w:after="0"/>
            </w:pPr>
            <w:r>
              <w:rPr>
                <w:b w:val="0"/>
                <w:sz w:val="19"/>
              </w:rPr>
              <w:t>Background, sponsor timelines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SOP-09 Safety Reporting (AEs, SAEs, IRB-Reportable Events, Pregnancy)</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SOP-09 Safety Reporting (AEs, SAEs, IRB-Reportable Events, Pregnancy)</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