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SOP-08</w:t>
      </w:r>
    </w:p>
    <w:p>
      <w:pPr>
        <w:pStyle w:val="Title"/>
        <w:pBdr>
          <w:bottom w:val="single" w:sz="12" w:space="1" w:color="1F3864"/>
        </w:pBdr>
        <w:spacing w:after="120"/>
      </w:pPr>
      <w:r>
        <w:rPr>
          <w:b w:val="0"/>
          <w:color w:val="1F3864"/>
          <w:sz w:val="36"/>
        </w:rPr>
        <w:t>Protocol Deviations and CAPA</w:t>
      </w:r>
    </w:p>
    <w:tbl>
      <w:tblPr>
        <w:tblStyle w:val="TableGrid"/>
        <w:tblW w:type="auto" w:w="0"/>
        <w:tblLayout w:type="fixed"/>
        <w:tblLook w:firstColumn="1" w:firstRow="1" w:lastColumn="0" w:lastRow="0" w:noHBand="0" w:noVBand="1" w:val="04A0"/>
      </w:tblPr>
      <w:tblGrid>
        <w:gridCol w:w="1447"/>
        <w:gridCol w:w="4052"/>
        <w:gridCol w:w="1736"/>
        <w:gridCol w:w="2412"/>
      </w:tblGrid>
      <w:tr>
        <w:tc>
          <w:tcPr>
            <w:tcW w:type="dxa" w:w="1447"/>
            <w:shd w:val="clear" w:color="auto" w:fill="D9E2F3"/>
          </w:tcPr>
          <w:p>
            <w:pPr>
              <w:spacing w:after="0"/>
            </w:pPr>
            <w:r>
              <w:rPr>
                <w:b/>
                <w:sz w:val="19"/>
              </w:rPr>
              <w:t>Site</w:t>
            </w:r>
          </w:p>
        </w:tc>
        <w:tc>
          <w:tcPr>
            <w:tcW w:type="dxa" w:w="4052"/>
          </w:tcPr>
          <w:p>
            <w:pPr>
              <w:spacing w:after="0"/>
            </w:pPr>
            <w:r>
              <w:rPr>
                <w:b w:val="0"/>
                <w:sz w:val="19"/>
                <w:highlight w:val="yellow"/>
              </w:rPr>
              <w:t>[SITE NAME]</w:t>
            </w:r>
          </w:p>
        </w:tc>
        <w:tc>
          <w:tcPr>
            <w:tcW w:type="dxa" w:w="1736"/>
            <w:shd w:val="clear" w:color="auto" w:fill="D9E2F3"/>
          </w:tcPr>
          <w:p>
            <w:pPr>
              <w:spacing w:after="0"/>
            </w:pPr>
            <w:r>
              <w:rPr>
                <w:b/>
                <w:sz w:val="19"/>
              </w:rPr>
              <w:t>Version</w:t>
            </w:r>
          </w:p>
        </w:tc>
        <w:tc>
          <w:tcPr>
            <w:tcW w:type="dxa" w:w="2412"/>
          </w:tcPr>
          <w:p>
            <w:pPr>
              <w:spacing w:after="0"/>
            </w:pPr>
            <w:r>
              <w:rPr>
                <w:b w:val="0"/>
                <w:sz w:val="19"/>
              </w:rPr>
              <w:t>1.0</w:t>
            </w:r>
          </w:p>
        </w:tc>
      </w:tr>
      <w:tr>
        <w:tc>
          <w:tcPr>
            <w:tcW w:type="dxa" w:w="1447"/>
            <w:shd w:val="clear" w:color="auto" w:fill="D9E2F3"/>
          </w:tcPr>
          <w:p>
            <w:pPr>
              <w:spacing w:after="0"/>
            </w:pPr>
            <w:r>
              <w:rPr>
                <w:b/>
                <w:sz w:val="19"/>
              </w:rPr>
              <w:t>Category</w:t>
            </w:r>
          </w:p>
        </w:tc>
        <w:tc>
          <w:tcPr>
            <w:tcW w:type="dxa" w:w="4052"/>
          </w:tcPr>
          <w:p>
            <w:pPr>
              <w:spacing w:after="0"/>
            </w:pPr>
            <w:r>
              <w:rPr>
                <w:b w:val="0"/>
                <w:sz w:val="19"/>
              </w:rPr>
              <w:t>Core</w:t>
            </w:r>
          </w:p>
        </w:tc>
        <w:tc>
          <w:tcPr>
            <w:tcW w:type="dxa" w:w="1736"/>
            <w:shd w:val="clear" w:color="auto" w:fill="D9E2F3"/>
          </w:tcPr>
          <w:p>
            <w:pPr>
              <w:spacing w:after="0"/>
            </w:pPr>
            <w:r>
              <w:rPr>
                <w:b/>
                <w:sz w:val="19"/>
              </w:rPr>
              <w:t>Effective date</w:t>
            </w:r>
          </w:p>
        </w:tc>
        <w:tc>
          <w:tcPr>
            <w:tcW w:type="dxa" w:w="2412"/>
          </w:tcPr>
          <w:p>
            <w:pPr>
              <w:spacing w:after="0"/>
            </w:pPr>
            <w:r>
              <w:rPr>
                <w:b w:val="0"/>
                <w:sz w:val="19"/>
                <w:highlight w:val="yellow"/>
              </w:rPr>
              <w:t>[EFFECTIVE DATE]</w:t>
            </w:r>
          </w:p>
        </w:tc>
      </w:tr>
      <w:tr>
        <w:tc>
          <w:tcPr>
            <w:tcW w:type="dxa" w:w="1447"/>
            <w:shd w:val="clear" w:color="auto" w:fill="D9E2F3"/>
          </w:tcPr>
          <w:p>
            <w:pPr>
              <w:spacing w:after="0"/>
            </w:pPr>
            <w:r>
              <w:rPr>
                <w:b/>
                <w:sz w:val="19"/>
              </w:rPr>
              <w:t>Supersedes</w:t>
            </w:r>
          </w:p>
        </w:tc>
        <w:tc>
          <w:tcPr>
            <w:tcW w:type="dxa" w:w="4052"/>
          </w:tcPr>
          <w:p>
            <w:pPr>
              <w:spacing w:after="0"/>
            </w:pPr>
            <w:r>
              <w:rPr>
                <w:b w:val="0"/>
                <w:sz w:val="19"/>
                <w:highlight w:val="yellow"/>
              </w:rPr>
              <w:t>[PRIOR SITE SOP OR NONE]</w:t>
            </w:r>
          </w:p>
        </w:tc>
        <w:tc>
          <w:tcPr>
            <w:tcW w:type="dxa" w:w="1736"/>
            <w:shd w:val="clear" w:color="auto" w:fill="D9E2F3"/>
          </w:tcPr>
          <w:p>
            <w:pPr>
              <w:spacing w:after="0"/>
            </w:pPr>
            <w:r>
              <w:rPr>
                <w:b/>
                <w:sz w:val="19"/>
              </w:rPr>
              <w:t>Next review due</w:t>
            </w:r>
          </w:p>
        </w:tc>
        <w:tc>
          <w:tcPr>
            <w:tcW w:type="dxa" w:w="2412"/>
          </w:tcPr>
          <w:p>
            <w:pPr>
              <w:spacing w:after="0"/>
            </w:pPr>
            <w:r>
              <w:rPr>
                <w:b w:val="0"/>
                <w:sz w:val="19"/>
                <w:highlight w:val="yellow"/>
              </w:rPr>
              <w:t>[REVIEW DUE DATE]</w:t>
            </w:r>
          </w:p>
        </w:tc>
      </w:tr>
    </w:tbl>
    <w:p>
      <w:pPr>
        <w:spacing w:after="40"/>
      </w:pPr>
    </w:p>
    <w:p>
      <w:pPr>
        <w:pStyle w:val="Heading1"/>
      </w:pPr>
      <w:r>
        <w:t>1. Purpose</w:t>
      </w:r>
    </w:p>
    <w:p>
      <w:pPr/>
      <w:r>
        <w:rPr>
          <w:b w:val="0"/>
        </w:rPr>
        <w:t xml:space="preserve">This SOP describes how </w:t>
      </w:r>
      <w:r>
        <w:rPr>
          <w:b w:val="0"/>
          <w:highlight w:val="yellow"/>
        </w:rPr>
        <w:t>[SITE NAME]</w:t>
      </w:r>
      <w:r>
        <w:rPr>
          <w:b w:val="0"/>
        </w:rPr>
        <w:t xml:space="preserve"> prevents, records, assesses and reports protocol deviations and other noncompliance, including changes made to eliminate an immediate hazard, and how it finds the cause of quality problems, takes corrective and preventive action (CAPA), checks that the action worked and closes it.</w:t>
      </w:r>
    </w:p>
    <w:p>
      <w:pPr>
        <w:pStyle w:val="Heading1"/>
      </w:pPr>
      <w:r>
        <w:t>2. Scope</w:t>
      </w:r>
    </w:p>
    <w:p>
      <w:pPr/>
      <w:r>
        <w:rPr>
          <w:b w:val="0"/>
        </w:rPr>
        <w:t xml:space="preserve">This SOP applies to every departure from the protocol, investigational plan, GCP, regulations, IRB requirements or these SOPs in every study at </w:t>
      </w:r>
      <w:r>
        <w:rPr>
          <w:b w:val="0"/>
          <w:highlight w:val="yellow"/>
        </w:rPr>
        <w:t>[SITE NAME]</w:t>
      </w:r>
      <w:r>
        <w:rPr>
          <w:b w:val="0"/>
        </w:rPr>
        <w:t>, whoever finds it, and to quality problems from any source: deviations, QC and audit findings, monitoring findings, inspection observations, complaints, privacy incidents, temperature excursions, system failures and continuity events. It holds the site's single list of CAPA triggers. Unanticipated problems that are not deviations are in SOP-09. Suspected misconduct is in SOP-M5 (if adopted). The reporting steps in other SOPs still apply; this SOP covers fixing the cause.</w:t>
      </w:r>
    </w:p>
    <w:p>
      <w:pPr/>
      <w:r>
        <w:rPr>
          <w:b w:val="0"/>
        </w:rPr>
        <w:t>Where the protocol, sponsor, IRB or FDA sets a stricter definition, reporting time or CAPA deadline than this SOP, the site follows the stricter requirement.</w:t>
      </w:r>
    </w:p>
    <w:p>
      <w:pPr>
        <w:pStyle w:val="Heading1"/>
      </w:pPr>
      <w:r>
        <w:t>3. Responsibilities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Role</w:t>
            </w:r>
          </w:p>
        </w:tc>
        <w:tc>
          <w:tcPr>
            <w:tcW w:type="dxa" w:w="6946"/>
            <w:shd w:val="clear" w:color="auto" w:fill="D9E2F3"/>
          </w:tcPr>
          <w:p>
            <w:pPr>
              <w:spacing w:after="0"/>
            </w:pPr>
            <w:r>
              <w:rPr>
                <w:b/>
                <w:sz w:val="19"/>
              </w:rPr>
              <w:t>Responsibilities</w:t>
            </w:r>
          </w:p>
        </w:tc>
      </w:tr>
      <w:tr>
        <w:trPr>
          <w:cantSplit w:val="true"/>
        </w:trPr>
        <w:tc>
          <w:tcPr>
            <w:tcW w:type="dxa" w:w="2701"/>
          </w:tcPr>
          <w:p>
            <w:pPr>
              <w:spacing w:after="0"/>
            </w:pPr>
            <w:r>
              <w:rPr>
                <w:b w:val="0"/>
                <w:sz w:val="19"/>
              </w:rPr>
              <w:t>Principal Investigator (PI)</w:t>
            </w:r>
          </w:p>
        </w:tc>
        <w:tc>
          <w:tcPr>
            <w:tcW w:type="dxa" w:w="6946"/>
          </w:tcPr>
          <w:p>
            <w:pPr>
              <w:spacing w:after="0"/>
            </w:pPr>
            <w:r>
              <w:rPr>
                <w:b w:val="0"/>
                <w:sz w:val="19"/>
              </w:rPr>
              <w:t>Deviates only to eliminate an immediate hazard. Assesses every deviation and decides reportability using the sponsor's and IRB's criteria. Joins root cause analysis for study problems and approves CAPA plans that affect study conduct or participant safety.</w:t>
            </w:r>
          </w:p>
        </w:tc>
      </w:tr>
      <w:tr>
        <w:trPr>
          <w:cantSplit w:val="true"/>
        </w:trPr>
        <w:tc>
          <w:tcPr>
            <w:tcW w:type="dxa" w:w="2701"/>
          </w:tcPr>
          <w:p>
            <w:pPr>
              <w:spacing w:after="0"/>
            </w:pPr>
            <w:r>
              <w:rPr>
                <w:b w:val="0"/>
                <w:sz w:val="19"/>
              </w:rPr>
              <w:t>Sub-Investigator (Sub-I)</w:t>
            </w:r>
          </w:p>
        </w:tc>
        <w:tc>
          <w:tcPr>
            <w:tcW w:type="dxa" w:w="6946"/>
          </w:tcPr>
          <w:p>
            <w:pPr>
              <w:spacing w:after="0"/>
            </w:pPr>
            <w:r>
              <w:rPr>
                <w:b w:val="0"/>
                <w:sz w:val="19"/>
              </w:rPr>
              <w:t>Reports deviations they cause or see. May take emergency action to protect a participant and tells the PI at once.</w:t>
            </w:r>
          </w:p>
        </w:tc>
      </w:tr>
      <w:tr>
        <w:trPr>
          <w:cantSplit w:val="true"/>
        </w:trPr>
        <w:tc>
          <w:tcPr>
            <w:tcW w:type="dxa" w:w="2701"/>
          </w:tcPr>
          <w:p>
            <w:pPr>
              <w:spacing w:after="0"/>
            </w:pPr>
            <w:r>
              <w:rPr>
                <w:b w:val="0"/>
                <w:sz w:val="19"/>
              </w:rPr>
              <w:t>Clinical Research Coordinator (CRC)</w:t>
            </w:r>
          </w:p>
        </w:tc>
        <w:tc>
          <w:tcPr>
            <w:tcW w:type="dxa" w:w="6946"/>
          </w:tcPr>
          <w:p>
            <w:pPr>
              <w:spacing w:after="0"/>
            </w:pPr>
            <w:r>
              <w:rPr>
                <w:b w:val="0"/>
                <w:sz w:val="19"/>
              </w:rPr>
              <w:t>Records deviations on F-308-01 and in source and reports them to the sponsor.</w:t>
            </w:r>
          </w:p>
        </w:tc>
      </w:tr>
      <w:tr>
        <w:trPr>
          <w:cantSplit w:val="true"/>
        </w:trPr>
        <w:tc>
          <w:tcPr>
            <w:tcW w:type="dxa" w:w="2701"/>
          </w:tcPr>
          <w:p>
            <w:pPr>
              <w:spacing w:after="0"/>
            </w:pPr>
            <w:r>
              <w:rPr>
                <w:b w:val="0"/>
                <w:sz w:val="19"/>
              </w:rPr>
              <w:t>Lead CRC</w:t>
            </w:r>
          </w:p>
        </w:tc>
        <w:tc>
          <w:tcPr>
            <w:tcW w:type="dxa" w:w="6946"/>
          </w:tcPr>
          <w:p>
            <w:pPr>
              <w:spacing w:after="0"/>
            </w:pPr>
            <w:r>
              <w:rPr>
                <w:b w:val="0"/>
                <w:sz w:val="19"/>
              </w:rPr>
              <w:t>Keeps F-308-01 current and reconciles it with the sponsor's deviation list.</w:t>
            </w:r>
          </w:p>
        </w:tc>
      </w:tr>
      <w:tr>
        <w:trPr>
          <w:cantSplit w:val="true"/>
        </w:trPr>
        <w:tc>
          <w:tcPr>
            <w:tcW w:type="dxa" w:w="2701"/>
          </w:tcPr>
          <w:p>
            <w:pPr>
              <w:spacing w:after="0"/>
            </w:pPr>
            <w:r>
              <w:rPr>
                <w:b w:val="0"/>
                <w:sz w:val="19"/>
              </w:rPr>
              <w:t>Regulatory Coordinator</w:t>
            </w:r>
          </w:p>
        </w:tc>
        <w:tc>
          <w:tcPr>
            <w:tcW w:type="dxa" w:w="6946"/>
          </w:tcPr>
          <w:p>
            <w:pPr>
              <w:spacing w:after="0"/>
            </w:pPr>
            <w:r>
              <w:rPr>
                <w:b w:val="0"/>
                <w:sz w:val="19"/>
              </w:rPr>
              <w:t>Submits IRB-reportable deviations within the IRB's time and files acknowledgments.</w:t>
            </w:r>
          </w:p>
        </w:tc>
      </w:tr>
      <w:tr>
        <w:trPr>
          <w:cantSplit w:val="true"/>
        </w:trPr>
        <w:tc>
          <w:tcPr>
            <w:tcW w:type="dxa" w:w="2701"/>
          </w:tcPr>
          <w:p>
            <w:pPr>
              <w:spacing w:after="0"/>
            </w:pPr>
            <w:r>
              <w:rPr>
                <w:b w:val="0"/>
                <w:sz w:val="19"/>
              </w:rPr>
              <w:t>Quality Lead</w:t>
            </w:r>
          </w:p>
        </w:tc>
        <w:tc>
          <w:tcPr>
            <w:tcW w:type="dxa" w:w="6946"/>
          </w:tcPr>
          <w:p>
            <w:pPr>
              <w:spacing w:after="0"/>
            </w:pPr>
            <w:r>
              <w:rPr>
                <w:b w:val="0"/>
                <w:sz w:val="19"/>
              </w:rPr>
              <w:t>Owns F-703-01 and F-703-02. Decides whether a CAPA is needed, sets the depth of analysis, tracks due dates and approves effectiveness checks and closure. Reports deviation and CAPA trends at the quarterly quality review (SOP-14).</w:t>
            </w:r>
          </w:p>
        </w:tc>
      </w:tr>
      <w:tr>
        <w:trPr>
          <w:cantSplit w:val="true"/>
        </w:trPr>
        <w:tc>
          <w:tcPr>
            <w:tcW w:type="dxa" w:w="2701"/>
          </w:tcPr>
          <w:p>
            <w:pPr>
              <w:spacing w:after="0"/>
            </w:pPr>
            <w:r>
              <w:rPr>
                <w:b w:val="0"/>
                <w:sz w:val="19"/>
              </w:rPr>
              <w:t>Site Director</w:t>
            </w:r>
          </w:p>
        </w:tc>
        <w:tc>
          <w:tcPr>
            <w:tcW w:type="dxa" w:w="6946"/>
          </w:tcPr>
          <w:p>
            <w:pPr>
              <w:spacing w:after="0"/>
            </w:pPr>
            <w:r>
              <w:rPr>
                <w:b w:val="0"/>
                <w:sz w:val="19"/>
              </w:rPr>
              <w:t>Provides resources, approves CAPAs needing budget or staffing, and receives escalation of overdue CAPAs.</w:t>
            </w:r>
          </w:p>
        </w:tc>
      </w:tr>
      <w:tr>
        <w:trPr>
          <w:cantSplit w:val="true"/>
        </w:trPr>
        <w:tc>
          <w:tcPr>
            <w:tcW w:type="dxa" w:w="2701"/>
          </w:tcPr>
          <w:p>
            <w:pPr>
              <w:spacing w:after="0"/>
            </w:pPr>
            <w:r>
              <w:rPr>
                <w:b w:val="0"/>
                <w:sz w:val="19"/>
              </w:rPr>
              <w:t>CAPA owner</w:t>
            </w:r>
          </w:p>
        </w:tc>
        <w:tc>
          <w:tcPr>
            <w:tcW w:type="dxa" w:w="6946"/>
          </w:tcPr>
          <w:p>
            <w:pPr>
              <w:spacing w:after="0"/>
            </w:pPr>
            <w:r>
              <w:rPr>
                <w:b w:val="0"/>
                <w:sz w:val="19"/>
              </w:rPr>
              <w:t>Completes assigned actions by the due date with evidence.</w:t>
            </w:r>
          </w:p>
        </w:tc>
      </w:tr>
      <w:tr>
        <w:trPr>
          <w:cantSplit w:val="true"/>
        </w:trPr>
        <w:tc>
          <w:tcPr>
            <w:tcW w:type="dxa" w:w="2701"/>
          </w:tcPr>
          <w:p>
            <w:pPr>
              <w:spacing w:after="0"/>
            </w:pPr>
            <w:r>
              <w:rPr>
                <w:b w:val="0"/>
                <w:sz w:val="19"/>
              </w:rPr>
              <w:t>All Research Staff</w:t>
            </w:r>
          </w:p>
        </w:tc>
        <w:tc>
          <w:tcPr>
            <w:tcW w:type="dxa" w:w="6946"/>
          </w:tcPr>
          <w:p>
            <w:pPr>
              <w:spacing w:after="0"/>
            </w:pPr>
            <w:r>
              <w:rPr>
                <w:b w:val="0"/>
                <w:sz w:val="19"/>
              </w:rPr>
              <w:t>Report a deviation or consent error the same day it is found (5.3.1, SOP-04), and any other quality problem or complaint within the 5.6.1 time.</w:t>
            </w:r>
          </w:p>
        </w:tc>
      </w:tr>
    </w:tbl>
    <w:p>
      <w:pPr>
        <w:spacing w:after="40"/>
      </w:pPr>
    </w:p>
    <w:p>
      <w:pPr>
        <w:pStyle w:val="Heading1"/>
      </w:pPr>
      <w:r>
        <w:t>4. Definitions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Term</w:t>
            </w:r>
          </w:p>
        </w:tc>
        <w:tc>
          <w:tcPr>
            <w:tcW w:type="dxa" w:w="6946"/>
            <w:shd w:val="clear" w:color="auto" w:fill="D9E2F3"/>
          </w:tcPr>
          <w:p>
            <w:pPr>
              <w:spacing w:after="0"/>
            </w:pPr>
            <w:r>
              <w:rPr>
                <w:b/>
                <w:sz w:val="19"/>
              </w:rPr>
              <w:t>Definition</w:t>
            </w:r>
          </w:p>
        </w:tc>
      </w:tr>
      <w:tr>
        <w:trPr>
          <w:cantSplit w:val="true"/>
        </w:trPr>
        <w:tc>
          <w:tcPr>
            <w:tcW w:type="dxa" w:w="2701"/>
          </w:tcPr>
          <w:p>
            <w:pPr>
              <w:spacing w:after="0"/>
            </w:pPr>
            <w:r>
              <w:rPr>
                <w:b w:val="0"/>
                <w:sz w:val="19"/>
              </w:rPr>
              <w:t>Protocol deviation</w:t>
            </w:r>
          </w:p>
        </w:tc>
        <w:tc>
          <w:tcPr>
            <w:tcW w:type="dxa" w:w="6946"/>
          </w:tcPr>
          <w:p>
            <w:pPr>
              <w:spacing w:after="0"/>
            </w:pPr>
            <w:r>
              <w:rPr>
                <w:b w:val="0"/>
                <w:sz w:val="19"/>
              </w:rPr>
              <w:t>Any change, divergence or departure from the study design or procedures in the protocol or investigational plan, planned or unplanned.</w:t>
            </w:r>
          </w:p>
        </w:tc>
      </w:tr>
      <w:tr>
        <w:trPr>
          <w:cantSplit w:val="true"/>
        </w:trPr>
        <w:tc>
          <w:tcPr>
            <w:tcW w:type="dxa" w:w="2701"/>
          </w:tcPr>
          <w:p>
            <w:pPr>
              <w:spacing w:after="0"/>
            </w:pPr>
            <w:r>
              <w:rPr>
                <w:b w:val="0"/>
                <w:sz w:val="19"/>
              </w:rPr>
              <w:t>Important protocol deviation</w:t>
            </w:r>
          </w:p>
        </w:tc>
        <w:tc>
          <w:tcPr>
            <w:tcW w:type="dxa" w:w="6946"/>
          </w:tcPr>
          <w:p>
            <w:pPr>
              <w:spacing w:after="0"/>
            </w:pPr>
            <w:r>
              <w:rPr>
                <w:b w:val="0"/>
                <w:sz w:val="19"/>
              </w:rPr>
              <w:t>A deviation that may significantly affect the completeness, accuracy or reliability of trial data, or a participant's rights, safety or well-being, classified using the sponsor's trial-specific criteria. Some sponsors and IRBs say "major".</w:t>
            </w:r>
          </w:p>
        </w:tc>
      </w:tr>
      <w:tr>
        <w:trPr>
          <w:cantSplit w:val="true"/>
        </w:trPr>
        <w:tc>
          <w:tcPr>
            <w:tcW w:type="dxa" w:w="2701"/>
          </w:tcPr>
          <w:p>
            <w:pPr>
              <w:spacing w:after="0"/>
            </w:pPr>
            <w:r>
              <w:rPr>
                <w:b w:val="0"/>
                <w:sz w:val="19"/>
              </w:rPr>
              <w:t>Noncompliance</w:t>
            </w:r>
          </w:p>
        </w:tc>
        <w:tc>
          <w:tcPr>
            <w:tcW w:type="dxa" w:w="6946"/>
          </w:tcPr>
          <w:p>
            <w:pPr>
              <w:spacing w:after="0"/>
            </w:pPr>
            <w:r>
              <w:rPr>
                <w:b w:val="0"/>
                <w:sz w:val="19"/>
              </w:rPr>
              <w:t>Failure to follow the protocol, SOPs, GCP, regulations or IRB requirements. Serious and continuing noncompliance are as the reviewing IRB defines them.</w:t>
            </w:r>
          </w:p>
        </w:tc>
      </w:tr>
      <w:tr>
        <w:trPr>
          <w:cantSplit w:val="true"/>
        </w:trPr>
        <w:tc>
          <w:tcPr>
            <w:tcW w:type="dxa" w:w="2701"/>
          </w:tcPr>
          <w:p>
            <w:pPr>
              <w:spacing w:after="0"/>
            </w:pPr>
            <w:r>
              <w:rPr>
                <w:b w:val="0"/>
                <w:sz w:val="19"/>
              </w:rPr>
              <w:t>Immediate hazard change</w:t>
            </w:r>
          </w:p>
        </w:tc>
        <w:tc>
          <w:tcPr>
            <w:tcW w:type="dxa" w:w="6946"/>
          </w:tcPr>
          <w:p>
            <w:pPr>
              <w:spacing w:after="0"/>
            </w:pPr>
            <w:r>
              <w:rPr>
                <w:b w:val="0"/>
                <w:sz w:val="19"/>
              </w:rPr>
              <w:t>A change to protocol procedures made without prior IRB approval because it is needed to eliminate an apparent immediate hazard to a participant.</w:t>
            </w:r>
          </w:p>
        </w:tc>
      </w:tr>
      <w:tr>
        <w:trPr>
          <w:cantSplit w:val="true"/>
        </w:trPr>
        <w:tc>
          <w:tcPr>
            <w:tcW w:type="dxa" w:w="2701"/>
          </w:tcPr>
          <w:p>
            <w:pPr>
              <w:spacing w:after="0"/>
            </w:pPr>
            <w:r>
              <w:rPr>
                <w:b w:val="0"/>
                <w:sz w:val="19"/>
              </w:rPr>
              <w:t>Critical, major, minor</w:t>
            </w:r>
          </w:p>
        </w:tc>
        <w:tc>
          <w:tcPr>
            <w:tcW w:type="dxa" w:w="6946"/>
          </w:tcPr>
          <w:p>
            <w:pPr>
              <w:spacing w:after="0"/>
            </w:pPr>
            <w:r>
              <w:rPr>
                <w:b w:val="0"/>
                <w:sz w:val="19"/>
              </w:rPr>
              <w:t>Severity grades for QC and audit findings defined in SOP-14. They do not replace the important or not-important classification of deviations. For CAPA depth and deadlines, an important deviation counts as major, and a deviation that harmed a participant as critical.</w:t>
            </w:r>
          </w:p>
        </w:tc>
      </w:tr>
      <w:tr>
        <w:trPr>
          <w:cantSplit w:val="true"/>
        </w:trPr>
        <w:tc>
          <w:tcPr>
            <w:tcW w:type="dxa" w:w="2701"/>
          </w:tcPr>
          <w:p>
            <w:pPr>
              <w:spacing w:after="0"/>
            </w:pPr>
            <w:r>
              <w:rPr>
                <w:b w:val="0"/>
                <w:sz w:val="19"/>
              </w:rPr>
              <w:t>Correction</w:t>
            </w:r>
          </w:p>
        </w:tc>
        <w:tc>
          <w:tcPr>
            <w:tcW w:type="dxa" w:w="6946"/>
          </w:tcPr>
          <w:p>
            <w:pPr>
              <w:spacing w:after="0"/>
            </w:pPr>
            <w:r>
              <w:rPr>
                <w:b w:val="0"/>
                <w:sz w:val="19"/>
              </w:rPr>
              <w:t>Immediate action to fix the specific problem. It does not address why the problem happened.</w:t>
            </w:r>
          </w:p>
        </w:tc>
      </w:tr>
      <w:tr>
        <w:trPr>
          <w:cantSplit w:val="true"/>
        </w:trPr>
        <w:tc>
          <w:tcPr>
            <w:tcW w:type="dxa" w:w="2701"/>
          </w:tcPr>
          <w:p>
            <w:pPr>
              <w:spacing w:after="0"/>
            </w:pPr>
            <w:r>
              <w:rPr>
                <w:b w:val="0"/>
                <w:sz w:val="19"/>
              </w:rPr>
              <w:t>Corrective action</w:t>
            </w:r>
          </w:p>
        </w:tc>
        <w:tc>
          <w:tcPr>
            <w:tcW w:type="dxa" w:w="6946"/>
          </w:tcPr>
          <w:p>
            <w:pPr>
              <w:spacing w:after="0"/>
            </w:pPr>
            <w:r>
              <w:rPr>
                <w:b w:val="0"/>
                <w:sz w:val="19"/>
              </w:rPr>
              <w:t>Action to remove the cause of a problem that has occurred.</w:t>
            </w:r>
          </w:p>
        </w:tc>
      </w:tr>
      <w:tr>
        <w:trPr>
          <w:cantSplit w:val="true"/>
        </w:trPr>
        <w:tc>
          <w:tcPr>
            <w:tcW w:type="dxa" w:w="2701"/>
          </w:tcPr>
          <w:p>
            <w:pPr>
              <w:spacing w:after="0"/>
            </w:pPr>
            <w:r>
              <w:rPr>
                <w:b w:val="0"/>
                <w:sz w:val="19"/>
              </w:rPr>
              <w:t>Preventive action</w:t>
            </w:r>
          </w:p>
        </w:tc>
        <w:tc>
          <w:tcPr>
            <w:tcW w:type="dxa" w:w="6946"/>
          </w:tcPr>
          <w:p>
            <w:pPr>
              <w:spacing w:after="0"/>
            </w:pPr>
            <w:r>
              <w:rPr>
                <w:b w:val="0"/>
                <w:sz w:val="19"/>
              </w:rPr>
              <w:t>Action to remove the cause of a potential problem, or to stop a problem from occurring in other studies, staff or locations.</w:t>
            </w:r>
          </w:p>
        </w:tc>
      </w:tr>
      <w:tr>
        <w:trPr>
          <w:cantSplit w:val="true"/>
        </w:trPr>
        <w:tc>
          <w:tcPr>
            <w:tcW w:type="dxa" w:w="2701"/>
          </w:tcPr>
          <w:p>
            <w:pPr>
              <w:spacing w:after="0"/>
            </w:pPr>
            <w:r>
              <w:rPr>
                <w:b w:val="0"/>
                <w:sz w:val="19"/>
              </w:rPr>
              <w:t>Root cause</w:t>
            </w:r>
          </w:p>
        </w:tc>
        <w:tc>
          <w:tcPr>
            <w:tcW w:type="dxa" w:w="6946"/>
          </w:tcPr>
          <w:p>
            <w:pPr>
              <w:spacing w:after="0"/>
            </w:pPr>
            <w:r>
              <w:rPr>
                <w:b w:val="0"/>
                <w:sz w:val="19"/>
              </w:rPr>
              <w:t>The most basic cause that, if removed, would prevent recurrence.</w:t>
            </w:r>
          </w:p>
        </w:tc>
      </w:tr>
      <w:tr>
        <w:trPr>
          <w:cantSplit w:val="true"/>
        </w:trPr>
        <w:tc>
          <w:tcPr>
            <w:tcW w:type="dxa" w:w="2701"/>
          </w:tcPr>
          <w:p>
            <w:pPr>
              <w:spacing w:after="0"/>
            </w:pPr>
            <w:r>
              <w:rPr>
                <w:b w:val="0"/>
                <w:sz w:val="19"/>
              </w:rPr>
              <w:t>Effectiveness check</w:t>
            </w:r>
          </w:p>
        </w:tc>
        <w:tc>
          <w:tcPr>
            <w:tcW w:type="dxa" w:w="6946"/>
          </w:tcPr>
          <w:p>
            <w:pPr>
              <w:spacing w:after="0"/>
            </w:pPr>
            <w:r>
              <w:rPr>
                <w:b w:val="0"/>
                <w:sz w:val="19"/>
              </w:rPr>
              <w:t>A planned, measurable check after the actions are complete that shows whether the problem has stopped recurring.</w:t>
            </w:r>
          </w:p>
        </w:tc>
      </w:tr>
    </w:tbl>
    <w:p>
      <w:pPr>
        <w:spacing w:after="40"/>
      </w:pPr>
    </w:p>
    <w:p>
      <w:pPr>
        <w:pStyle w:val="Heading1"/>
      </w:pPr>
      <w:r>
        <w:t>5. Procedure</w:t>
      </w:r>
    </w:p>
    <w:p>
      <w:pPr>
        <w:pStyle w:val="Heading2"/>
      </w:pPr>
      <w:r>
        <w:t>5.1 Prevention</w:t>
      </w:r>
    </w:p>
    <w:p>
      <w:pPr>
        <w:tabs>
          <w:tab w:pos="648" w:val="left"/>
        </w:tabs>
        <w:ind w:left="648" w:hanging="648"/>
      </w:pPr>
      <w:r>
        <w:rPr>
          <w:b/>
        </w:rPr>
        <w:t>5.1.1</w:t>
        <w:tab/>
      </w:r>
      <w:r>
        <w:rPr>
          <w:b w:val="0"/>
        </w:rPr>
        <w:t>Staff use only the current IRB-approved protocol version, and a new version only once IRB approval and sponsor activation are on file (SOP-03).</w:t>
      </w:r>
    </w:p>
    <w:p>
      <w:pPr>
        <w:tabs>
          <w:tab w:pos="648" w:val="left"/>
        </w:tabs>
        <w:ind w:left="648" w:hanging="648"/>
      </w:pPr>
      <w:r>
        <w:rPr>
          <w:b/>
        </w:rPr>
        <w:t>5.1.2</w:t>
        <w:tab/>
      </w:r>
      <w:r>
        <w:rPr>
          <w:b w:val="0"/>
        </w:rPr>
        <w:t>The Lead CRC prepares visit checklists or worksheets listing each protocol procedure and visit window, and staff use them at every visit.</w:t>
      </w:r>
    </w:p>
    <w:p>
      <w:pPr>
        <w:tabs>
          <w:tab w:pos="648" w:val="left"/>
        </w:tabs>
        <w:ind w:left="648" w:hanging="648"/>
      </w:pPr>
      <w:r>
        <w:rPr>
          <w:b/>
        </w:rPr>
        <w:t>5.1.3</w:t>
        <w:tab/>
      </w:r>
      <w:r>
        <w:rPr>
          <w:b w:val="0"/>
        </w:rPr>
        <w:t>The site does not request or accept eligibility waivers (SOP-05). Any other planned deviation for an individual participant needs documented sponsor approval in advance and IRB approval where the IRB requires it. The approval is filed in the participant file, and the event is still recorded on F-308-01.</w:t>
      </w:r>
    </w:p>
    <w:p>
      <w:pPr>
        <w:pStyle w:val="Heading2"/>
      </w:pPr>
      <w:r>
        <w:t>5.2 Changes to eliminate an immediate hazard</w:t>
      </w:r>
    </w:p>
    <w:p>
      <w:pPr>
        <w:tabs>
          <w:tab w:pos="648" w:val="left"/>
        </w:tabs>
        <w:ind w:left="648" w:hanging="648"/>
      </w:pPr>
      <w:r>
        <w:rPr>
          <w:b/>
        </w:rPr>
        <w:t>5.2.1</w:t>
        <w:tab/>
      </w:r>
      <w:r>
        <w:rPr>
          <w:b w:val="0"/>
        </w:rPr>
        <w:t>An investigator may depart from the protocol without prior IRB approval when needed to eliminate an apparent immediate hazard to a participant (21 CFR 312.66; 21 CFR 56.108(a)(4)). Emergency care is never delayed to obtain approval.</w:t>
      </w:r>
    </w:p>
    <w:p>
      <w:pPr>
        <w:tabs>
          <w:tab w:pos="648" w:val="left"/>
        </w:tabs>
        <w:ind w:left="648" w:hanging="648"/>
      </w:pPr>
      <w:r>
        <w:rPr>
          <w:b/>
        </w:rPr>
        <w:t>5.2.2</w:t>
        <w:tab/>
      </w:r>
      <w:r>
        <w:rPr>
          <w:b w:val="0"/>
        </w:rPr>
        <w:t>The investigator records in source what was done, when and why.</w:t>
      </w:r>
    </w:p>
    <w:p>
      <w:pPr>
        <w:tabs>
          <w:tab w:pos="648" w:val="left"/>
        </w:tabs>
        <w:ind w:left="648" w:hanging="648"/>
      </w:pPr>
      <w:r>
        <w:rPr>
          <w:b/>
        </w:rPr>
        <w:t>5.2.3</w:t>
        <w:tab/>
      </w:r>
      <w:r>
        <w:rPr>
          <w:b w:val="0"/>
        </w:rPr>
        <w:t xml:space="preserve">Drug and biologic studies: the investigator informs the sponsor within </w:t>
      </w:r>
      <w:r>
        <w:rPr>
          <w:b w:val="0"/>
          <w:highlight w:val="green"/>
        </w:rPr>
        <w:t>[DEFAULT: 1 business day]</w:t>
      </w:r>
      <w:r>
        <w:rPr>
          <w:b w:val="0"/>
        </w:rPr>
        <w:t xml:space="preserve"> of the change, or the protocol or sponsor time if shorter, and the Regulatory Coordinator reports the hazard, the change and any proposed amendment to the IRB within the IRB's time.</w:t>
      </w:r>
    </w:p>
    <w:p>
      <w:pPr>
        <w:tabs>
          <w:tab w:pos="648" w:val="left"/>
        </w:tabs>
        <w:ind w:left="648" w:hanging="648"/>
      </w:pPr>
      <w:r>
        <w:rPr>
          <w:b/>
        </w:rPr>
        <w:t>5.2.4</w:t>
        <w:tab/>
      </w:r>
      <w:r>
        <w:rPr>
          <w:b w:val="0"/>
        </w:rPr>
        <w:t>Device studies: the investigator notifies the sponsor and the IRB of a deviation made to protect a participant in an emergency within the time in SOP-09, 5.8.2. Outside an emergency, device deviations need prior sponsor approval and, where they may affect scientific soundness or participant rights, safety or welfare, FDA and IRB approval.</w:t>
      </w:r>
    </w:p>
    <w:p>
      <w:pPr>
        <w:tabs>
          <w:tab w:pos="648" w:val="left"/>
        </w:tabs>
        <w:ind w:left="648" w:hanging="648"/>
      </w:pPr>
      <w:r>
        <w:rPr>
          <w:b/>
        </w:rPr>
        <w:t>5.2.5</w:t>
        <w:tab/>
      </w:r>
      <w:r>
        <w:rPr>
          <w:b w:val="0"/>
        </w:rPr>
        <w:t>The event is recorded on F-308-01 and handled under the rest of this SOP.</w:t>
      </w:r>
    </w:p>
    <w:p>
      <w:pPr>
        <w:pStyle w:val="Heading2"/>
      </w:pPr>
      <w:r>
        <w:t>5.3 Recording deviations</w:t>
      </w:r>
    </w:p>
    <w:p>
      <w:pPr>
        <w:tabs>
          <w:tab w:pos="648" w:val="left"/>
        </w:tabs>
        <w:ind w:left="648" w:hanging="648"/>
      </w:pPr>
      <w:r>
        <w:rPr>
          <w:b/>
        </w:rPr>
        <w:t>5.3.1</w:t>
        <w:tab/>
      </w:r>
      <w:r>
        <w:rPr>
          <w:b w:val="0"/>
        </w:rPr>
        <w:t>Anyone who finds a deviation tells the CRC or PI the same day, whether found at a visit, in data entry, by the monitor, through EDC or IRT checks, by sponsor review or in QC.</w:t>
      </w:r>
    </w:p>
    <w:p>
      <w:pPr>
        <w:tabs>
          <w:tab w:pos="648" w:val="left"/>
        </w:tabs>
        <w:ind w:left="648" w:hanging="648"/>
      </w:pPr>
      <w:r>
        <w:rPr>
          <w:b/>
        </w:rPr>
        <w:t>5.3.2</w:t>
        <w:tab/>
      </w:r>
      <w:r>
        <w:rPr>
          <w:b w:val="0"/>
        </w:rPr>
        <w:t xml:space="preserve">The CRC records the deviation on F-308-01 </w:t>
      </w:r>
      <w:r>
        <w:rPr>
          <w:b w:val="0"/>
          <w:highlight w:val="green"/>
        </w:rPr>
        <w:t>[DEFAULT: within 5 business days of discovery]</w:t>
      </w:r>
      <w:r>
        <w:rPr>
          <w:b w:val="0"/>
        </w:rPr>
        <w:t>: study, participant ID if any, dates of occurrence and discovery, what happened and which requirement was not followed, who found it and how, immediate action, and preliminary classification against the sponsor's criteria.</w:t>
      </w:r>
    </w:p>
    <w:p>
      <w:pPr>
        <w:tabs>
          <w:tab w:pos="648" w:val="left"/>
        </w:tabs>
        <w:ind w:left="648" w:hanging="648"/>
      </w:pPr>
      <w:r>
        <w:rPr>
          <w:b/>
        </w:rPr>
        <w:t>5.3.3</w:t>
        <w:tab/>
      </w:r>
      <w:r>
        <w:rPr>
          <w:b w:val="0"/>
        </w:rPr>
        <w:t>Where the deviation concerns a participant, the CRC also records the facts in source. The source entry states what happened and does not recreate missing data.</w:t>
      </w:r>
    </w:p>
    <w:p>
      <w:pPr>
        <w:tabs>
          <w:tab w:pos="648" w:val="left"/>
        </w:tabs>
        <w:ind w:left="648" w:hanging="648"/>
      </w:pPr>
      <w:r>
        <w:rPr>
          <w:b/>
        </w:rPr>
        <w:t>5.3.4</w:t>
        <w:tab/>
      </w:r>
      <w:r>
        <w:rPr>
          <w:b w:val="0"/>
        </w:rPr>
        <w:t>Deviations that affect a whole study (for example an unapproved consent version or a temperature log gap) are recorded without a participant ID or with all affected IDs.</w:t>
      </w:r>
    </w:p>
    <w:p>
      <w:pPr>
        <w:tabs>
          <w:tab w:pos="648" w:val="left"/>
        </w:tabs>
        <w:ind w:left="648" w:hanging="648"/>
      </w:pPr>
      <w:r>
        <w:rPr>
          <w:b/>
        </w:rPr>
        <w:t>5.3.5</w:t>
        <w:tab/>
      </w:r>
      <w:r>
        <w:rPr>
          <w:b w:val="0"/>
        </w:rPr>
        <w:t>Deviations reported by the sponsor are added to F-308-01 if not already there. The Lead CRC reconciles F-308-01 with the sponsor's list before and at each monitoring visit (SOP-14, 5.1).</w:t>
      </w:r>
    </w:p>
    <w:p>
      <w:pPr>
        <w:tabs>
          <w:tab w:pos="648" w:val="left"/>
        </w:tabs>
        <w:ind w:left="648" w:hanging="648"/>
      </w:pPr>
      <w:r>
        <w:rPr>
          <w:b/>
        </w:rPr>
        <w:t>5.3.6</w:t>
        <w:tab/>
      </w:r>
      <w:r>
        <w:rPr>
          <w:b w:val="0"/>
        </w:rPr>
        <w:t>A deviation found by QC is logged on F-308-01 and classified under this SOP as well as graded under SOP-14.</w:t>
      </w:r>
    </w:p>
    <w:p>
      <w:pPr>
        <w:pStyle w:val="Heading2"/>
      </w:pPr>
      <w:r>
        <w:t>5.4 PI assessment</w:t>
      </w:r>
    </w:p>
    <w:p>
      <w:pPr>
        <w:tabs>
          <w:tab w:pos="648" w:val="left"/>
        </w:tabs>
        <w:ind w:left="648" w:hanging="648"/>
      </w:pPr>
      <w:r>
        <w:rPr>
          <w:b/>
        </w:rPr>
        <w:t>5.4.1</w:t>
        <w:tab/>
      </w:r>
      <w:r>
        <w:rPr>
          <w:b w:val="0"/>
        </w:rPr>
        <w:t xml:space="preserve">The PI reviews each deviation </w:t>
      </w:r>
      <w:r>
        <w:rPr>
          <w:b w:val="0"/>
          <w:highlight w:val="green"/>
        </w:rPr>
        <w:t>[DEFAULT: within 5 business days of it being recorded]</w:t>
      </w:r>
      <w:r>
        <w:rPr>
          <w:b w:val="0"/>
        </w:rPr>
        <w:t xml:space="preserve"> and records on F-308-01:</w:t>
      </w:r>
    </w:p>
    <w:p>
      <w:pPr>
        <w:pStyle w:val="ListBullet"/>
        <w:spacing w:after="40"/>
        <w:ind w:left="1008" w:hanging="259"/>
      </w:pPr>
      <w:r>
        <w:rPr>
          <w:b w:val="0"/>
        </w:rPr>
        <w:t>impact on participant safety, rights and well-being, and on data reliability</w:t>
      </w:r>
    </w:p>
    <w:p>
      <w:pPr>
        <w:pStyle w:val="ListBullet"/>
        <w:spacing w:after="40"/>
        <w:ind w:left="1008" w:hanging="259"/>
      </w:pPr>
      <w:r>
        <w:rPr>
          <w:b w:val="0"/>
        </w:rPr>
        <w:t>classification as important or not, using the sponsor's criteria</w:t>
      </w:r>
    </w:p>
    <w:p>
      <w:pPr>
        <w:pStyle w:val="ListBullet"/>
        <w:spacing w:after="40"/>
        <w:ind w:left="1008" w:hanging="259"/>
      </w:pPr>
      <w:r>
        <w:rPr>
          <w:b w:val="0"/>
        </w:rPr>
        <w:t>whether it meets the IRB's reporting criteria, including possible serious or continuing noncompliance</w:t>
      </w:r>
    </w:p>
    <w:p>
      <w:pPr>
        <w:pStyle w:val="ListBullet"/>
        <w:spacing w:after="40"/>
        <w:ind w:left="1008" w:hanging="259"/>
      </w:pPr>
      <w:r>
        <w:rPr>
          <w:b w:val="0"/>
        </w:rPr>
        <w:t>any action for the participant (for example safety follow-up, re-consent, sponsor consultation)</w:t>
      </w:r>
    </w:p>
    <w:p>
      <w:pPr>
        <w:tabs>
          <w:tab w:pos="648" w:val="left"/>
        </w:tabs>
        <w:ind w:left="648" w:hanging="648"/>
      </w:pPr>
      <w:r>
        <w:rPr>
          <w:b/>
        </w:rPr>
        <w:t>5.4.2</w:t>
        <w:tab/>
      </w:r>
      <w:r>
        <w:rPr>
          <w:b w:val="0"/>
        </w:rPr>
        <w:t>Where a deviation may fall in an IRB prompt-reporting category, including any consent error (SOP-04), the person who finds it tells the PI and the Regulatory Coordinator the same day, without waiting for 5.3.2 or 5.4.1. The Regulatory Coordinator opens F-502-01 with the discovery date as the awareness date, and the PI completes the assessment in time for submission within the IRB's window (SOP-09).</w:t>
      </w:r>
    </w:p>
    <w:p>
      <w:pPr>
        <w:tabs>
          <w:tab w:pos="648" w:val="left"/>
        </w:tabs>
        <w:ind w:left="648" w:hanging="648"/>
      </w:pPr>
      <w:r>
        <w:rPr>
          <w:b/>
        </w:rPr>
        <w:t>5.4.3</w:t>
        <w:tab/>
      </w:r>
      <w:r>
        <w:rPr>
          <w:b w:val="0"/>
        </w:rPr>
        <w:t>Where a deviation may affect participant safety, the PI assesses the participant the same day and records the assessment in source.</w:t>
      </w:r>
    </w:p>
    <w:p>
      <w:pPr>
        <w:tabs>
          <w:tab w:pos="648" w:val="left"/>
        </w:tabs>
        <w:ind w:left="648" w:hanging="648"/>
      </w:pPr>
      <w:r>
        <w:rPr>
          <w:b/>
        </w:rPr>
        <w:t>5.4.4</w:t>
        <w:tab/>
      </w:r>
      <w:r>
        <w:rPr>
          <w:b w:val="0"/>
        </w:rPr>
        <w:t>Where a deviation is also an adverse event, an SAE, an IP excursion or an unblinding, the related SOP also applies (SOP-04, SOP-05, SOP-06, SOP-09).</w:t>
      </w:r>
    </w:p>
    <w:p>
      <w:pPr>
        <w:pStyle w:val="Heading2"/>
      </w:pPr>
      <w:r>
        <w:t>5.5 Reporting deviations</w:t>
      </w:r>
    </w:p>
    <w:p>
      <w:pPr>
        <w:tabs>
          <w:tab w:pos="648" w:val="left"/>
        </w:tabs>
        <w:ind w:left="648" w:hanging="648"/>
      </w:pPr>
      <w:r>
        <w:rPr>
          <w:b/>
        </w:rPr>
        <w:t>5.5.1</w:t>
        <w:tab/>
      </w:r>
      <w:r>
        <w:rPr>
          <w:b w:val="0"/>
        </w:rPr>
        <w:t>The CRC reports deviations to the sponsor as the protocol and sponsor require and records the report date on F-308-01.</w:t>
      </w:r>
    </w:p>
    <w:p>
      <w:pPr>
        <w:tabs>
          <w:tab w:pos="648" w:val="left"/>
        </w:tabs>
        <w:ind w:left="648" w:hanging="648"/>
      </w:pPr>
      <w:r>
        <w:rPr>
          <w:b/>
        </w:rPr>
        <w:t>5.5.2</w:t>
        <w:tab/>
      </w:r>
      <w:r>
        <w:rPr>
          <w:b w:val="0"/>
        </w:rPr>
        <w:t xml:space="preserve">The Regulatory Coordinator reports to the IRB the deviations its policy requires, within its time, and files the submission and acknowledgment. The Regulatory Coordinator confirms the current policy of </w:t>
      </w:r>
      <w:r>
        <w:rPr>
          <w:b w:val="0"/>
          <w:highlight w:val="yellow"/>
        </w:rPr>
        <w:t>[CENTRAL IRB NAME]</w:t>
      </w:r>
      <w:r>
        <w:rPr>
          <w:b w:val="0"/>
        </w:rPr>
        <w:t xml:space="preserve"> for each study; IRBs commonly require prompt reports of deviations that harmed or increased risk to participants, affected their rights or welfare or data integrity, and of immediate hazard changes. Each IRB-reported deviation is also on F-502-01, and the two records cross-reference each other.</w:t>
      </w:r>
    </w:p>
    <w:p>
      <w:pPr>
        <w:tabs>
          <w:tab w:pos="648" w:val="left"/>
        </w:tabs>
        <w:ind w:left="648" w:hanging="648"/>
      </w:pPr>
      <w:r>
        <w:rPr>
          <w:b/>
        </w:rPr>
        <w:t>5.5.3</w:t>
        <w:tab/>
      </w:r>
      <w:r>
        <w:rPr>
          <w:b w:val="0"/>
        </w:rPr>
        <w:t>When the IRB finds serious or continuing noncompliance, the PI carries out the IRB's required actions. The IRB reports to FDA (21 CFR 56.108(b)(2)) and, for federally funded research, to OHRP.</w:t>
      </w:r>
    </w:p>
    <w:p>
      <w:pPr>
        <w:tabs>
          <w:tab w:pos="648" w:val="left"/>
        </w:tabs>
        <w:ind w:left="648" w:hanging="648"/>
      </w:pPr>
      <w:r>
        <w:rPr>
          <w:b/>
        </w:rPr>
        <w:t>5.5.4</w:t>
        <w:tab/>
      </w:r>
      <w:r>
        <w:rPr>
          <w:b w:val="0"/>
        </w:rPr>
        <w:t>F-308-01 is filed in the ISF and kept for the study retention period (SOP-12).</w:t>
      </w:r>
    </w:p>
    <w:p>
      <w:pPr>
        <w:pStyle w:val="Heading2"/>
      </w:pPr>
      <w:r>
        <w:t>5.6 When a CAPA is opened</w:t>
      </w:r>
    </w:p>
    <w:p>
      <w:pPr>
        <w:tabs>
          <w:tab w:pos="648" w:val="left"/>
        </w:tabs>
        <w:ind w:left="648" w:hanging="648"/>
      </w:pPr>
      <w:r>
        <w:rPr>
          <w:b/>
        </w:rPr>
        <w:t>5.6.1</w:t>
        <w:tab/>
      </w:r>
      <w:r>
        <w:rPr>
          <w:b w:val="0"/>
        </w:rPr>
        <w:t xml:space="preserve">Anyone who finds a quality problem or receives a complaint reports it to the Quality Lead within </w:t>
      </w:r>
      <w:r>
        <w:rPr>
          <w:b w:val="0"/>
          <w:highlight w:val="green"/>
        </w:rPr>
        <w:t>[DEFAULT: 1 business day]</w:t>
      </w:r>
      <w:r>
        <w:rPr>
          <w:b w:val="0"/>
        </w:rPr>
        <w:t>. Problems affecting participant safety go to the PI first, immediately.</w:t>
      </w:r>
    </w:p>
    <w:p>
      <w:pPr>
        <w:tabs>
          <w:tab w:pos="648" w:val="left"/>
        </w:tabs>
        <w:ind w:left="648" w:hanging="648"/>
      </w:pPr>
      <w:r>
        <w:rPr>
          <w:b/>
        </w:rPr>
        <w:t>5.6.2</w:t>
        <w:tab/>
      </w:r>
      <w:r>
        <w:rPr>
          <w:b w:val="0"/>
        </w:rPr>
        <w:t xml:space="preserve">The Quality Lead reviews the problem within </w:t>
      </w:r>
      <w:r>
        <w:rPr>
          <w:b w:val="0"/>
          <w:highlight w:val="green"/>
        </w:rPr>
        <w:t>[DEFAULT: 5 business days]</w:t>
      </w:r>
      <w:r>
        <w:rPr>
          <w:b w:val="0"/>
        </w:rPr>
        <w:t>, assigns a severity, and opens a CAPA on F-703-01 with a number on F-703-02 when any of these applies. This is the site's single list of CAPA triggers; other SOPs point to it.</w:t>
      </w:r>
    </w:p>
    <w:p>
      <w:pPr>
        <w:pStyle w:val="ListBullet"/>
        <w:spacing w:after="40"/>
        <w:ind w:left="1008" w:hanging="259"/>
      </w:pPr>
      <w:r>
        <w:rPr>
          <w:b w:val="0"/>
        </w:rPr>
        <w:t>a critical or major finding or event</w:t>
      </w:r>
    </w:p>
    <w:p>
      <w:pPr>
        <w:pStyle w:val="ListBullet"/>
        <w:spacing w:after="40"/>
        <w:ind w:left="1008" w:hanging="259"/>
      </w:pPr>
      <w:r>
        <w:rPr>
          <w:b w:val="0"/>
        </w:rPr>
        <w:t>an important deviation, or a deviation that harmed a participant</w:t>
      </w:r>
    </w:p>
    <w:p>
      <w:pPr>
        <w:pStyle w:val="ListBullet"/>
        <w:spacing w:after="40"/>
        <w:ind w:left="1008" w:hanging="259"/>
      </w:pPr>
      <w:r>
        <w:rPr>
          <w:b w:val="0"/>
        </w:rPr>
        <w:t>serious or continuing noncompliance found by the IRB</w:t>
      </w:r>
    </w:p>
    <w:p>
      <w:pPr>
        <w:pStyle w:val="ListBullet"/>
        <w:spacing w:after="40"/>
        <w:ind w:left="1008" w:hanging="259"/>
      </w:pPr>
      <w:r>
        <w:rPr>
          <w:b w:val="0"/>
        </w:rPr>
        <w:t>any FDA Form 483 observation, remote regulatory assessment observation or Warning Letter</w:t>
      </w:r>
    </w:p>
    <w:p>
      <w:pPr>
        <w:pStyle w:val="ListBullet"/>
        <w:spacing w:after="40"/>
        <w:ind w:left="1008" w:hanging="259"/>
      </w:pPr>
      <w:r>
        <w:rPr>
          <w:b w:val="0"/>
        </w:rPr>
        <w:t>a sponsor or IRB audit finding graded major or critical</w:t>
      </w:r>
    </w:p>
    <w:p>
      <w:pPr>
        <w:pStyle w:val="ListBullet"/>
        <w:spacing w:after="40"/>
        <w:ind w:left="1008" w:hanging="259"/>
      </w:pPr>
      <w:r>
        <w:rPr>
          <w:b w:val="0"/>
        </w:rPr>
        <w:t xml:space="preserve">the same minor problem or deviation type </w:t>
      </w:r>
      <w:r>
        <w:rPr>
          <w:b w:val="0"/>
          <w:highlight w:val="green"/>
        </w:rPr>
        <w:t>[DEFAULT: 3 or more times in a rolling 6 months, in one study or across studies]</w:t>
      </w:r>
      <w:r>
        <w:rPr>
          <w:b w:val="0"/>
        </w:rPr>
        <w:t>, including trends found at the quarterly quality review</w:t>
      </w:r>
    </w:p>
    <w:p>
      <w:pPr>
        <w:pStyle w:val="ListBullet"/>
        <w:spacing w:after="40"/>
        <w:ind w:left="1008" w:hanging="259"/>
      </w:pPr>
      <w:r>
        <w:rPr>
          <w:b w:val="0"/>
        </w:rPr>
        <w:t>a privacy incident with a systemic cause</w:t>
      </w:r>
    </w:p>
    <w:p>
      <w:pPr>
        <w:pStyle w:val="ListBullet"/>
        <w:spacing w:after="40"/>
        <w:ind w:left="1008" w:hanging="259"/>
      </w:pPr>
      <w:r>
        <w:rPr>
          <w:b w:val="0"/>
        </w:rPr>
        <w:t>a substantiated complaint about participant treatment, consent or privacy</w:t>
      </w:r>
    </w:p>
    <w:p>
      <w:pPr>
        <w:pStyle w:val="ListBullet"/>
        <w:spacing w:after="40"/>
        <w:ind w:left="1008" w:hanging="259"/>
      </w:pPr>
      <w:r>
        <w:rPr>
          <w:b w:val="0"/>
        </w:rPr>
        <w:t>a request from a sponsor, auditor, IRB, FDA or the management review</w:t>
      </w:r>
    </w:p>
    <w:p>
      <w:pPr>
        <w:tabs>
          <w:tab w:pos="648" w:val="left"/>
        </w:tabs>
        <w:ind w:left="648" w:hanging="648"/>
      </w:pPr>
      <w:r>
        <w:rPr>
          <w:b/>
        </w:rPr>
        <w:t>5.6.3</w:t>
        <w:tab/>
      </w:r>
      <w:r>
        <w:rPr>
          <w:b w:val="0"/>
        </w:rPr>
        <w:t>For a minor problem outside 5.6.2, the record owner makes the correction and the problem is counted at the quarterly quality review. Minor sponsor or IRB audit findings outside a trend get a one-line cause in the audit response (SOP-13) and no F-703-01.</w:t>
      </w:r>
    </w:p>
    <w:p>
      <w:pPr>
        <w:tabs>
          <w:tab w:pos="648" w:val="left"/>
        </w:tabs>
        <w:ind w:left="648" w:hanging="648"/>
      </w:pPr>
      <w:r>
        <w:rPr>
          <w:b/>
        </w:rPr>
        <w:t>5.6.4</w:t>
        <w:tab/>
      </w:r>
      <w:r>
        <w:rPr>
          <w:b w:val="0"/>
        </w:rPr>
        <w:t>The Quality Lead writes the CAPA number on the related records (deviation entry, audit response, complaint record) so they link. One CAPA may cover repeated important deviations of the same type in one study.</w:t>
      </w:r>
    </w:p>
    <w:p>
      <w:pPr>
        <w:tabs>
          <w:tab w:pos="648" w:val="left"/>
        </w:tabs>
        <w:ind w:left="648" w:hanging="648"/>
      </w:pPr>
      <w:r>
        <w:rPr>
          <w:b/>
        </w:rPr>
        <w:t>5.6.5</w:t>
        <w:tab/>
      </w:r>
      <w:r>
        <w:rPr>
          <w:b w:val="0"/>
        </w:rPr>
        <w:t>Where SOP-M5 is not adopted, this section is the minimum route for integrity concerns (suspected fabrication or falsification, or an instruction to falsify or conceal). Staff report within the 5.6.1 time to the Quality Lead or Site Director, or to the independent reviewer named in SOP-02 if either may be involved, and do not discuss it with the person involved. The recipient secures the records, records the concern on F-703-01 with access restricted to those handling it, and with a non-implicated investigator decides participant protection, sponsor and IRB notice and the CAPA. The number and type of concerns, without reporters' names, go to the management review (SOP-14).</w:t>
      </w:r>
    </w:p>
    <w:p>
      <w:pPr>
        <w:pStyle w:val="Heading2"/>
      </w:pPr>
      <w:r>
        <w:t>5.7 Correction and root cause</w:t>
      </w:r>
    </w:p>
    <w:p>
      <w:pPr>
        <w:tabs>
          <w:tab w:pos="648" w:val="left"/>
        </w:tabs>
        <w:ind w:left="648" w:hanging="648"/>
      </w:pPr>
      <w:r>
        <w:rPr>
          <w:b/>
        </w:rPr>
        <w:t>5.7.1</w:t>
        <w:tab/>
      </w:r>
      <w:r>
        <w:rPr>
          <w:b w:val="0"/>
        </w:rPr>
        <w:t>Before the cause is known, the PI and Quality Lead decide what must happen now to protect participants and data (for example pausing a task until retraining, quarantining IP, re-consenting, checking other participants or studies for the same problem). The CAPA owner records each action, dated, with evidence on F-703-01.</w:t>
      </w:r>
    </w:p>
    <w:p>
      <w:pPr>
        <w:tabs>
          <w:tab w:pos="648" w:val="left"/>
        </w:tabs>
        <w:ind w:left="648" w:hanging="648"/>
      </w:pPr>
      <w:r>
        <w:rPr>
          <w:b/>
        </w:rPr>
        <w:t>5.7.2</w:t>
        <w:tab/>
      </w:r>
      <w:r>
        <w:rPr>
          <w:b w:val="0"/>
        </w:rPr>
        <w:t>The Quality Lead sets the depth of root cause analysis by severity (important deviations: section 4):</w:t>
      </w:r>
    </w:p>
    <w:p>
      <w:pPr>
        <w:pStyle w:val="ListBullet"/>
        <w:spacing w:after="40"/>
        <w:ind w:left="1008" w:hanging="259"/>
      </w:pPr>
      <w:r>
        <w:rPr>
          <w:b w:val="0"/>
        </w:rPr>
        <w:t>minor, trend-triggered: the record owner and Quality Lead complete a 5 whys analysis</w:t>
      </w:r>
    </w:p>
    <w:p>
      <w:pPr>
        <w:pStyle w:val="ListBullet"/>
        <w:spacing w:after="40"/>
        <w:ind w:left="1008" w:hanging="259"/>
      </w:pPr>
      <w:r>
        <w:rPr>
          <w:b w:val="0"/>
        </w:rPr>
        <w:t>major: the Quality Lead leads a 5 whys analysis with the staff involved, adding a fishbone diagram where more than one cause is likely</w:t>
      </w:r>
    </w:p>
    <w:p>
      <w:pPr>
        <w:pStyle w:val="ListBullet"/>
        <w:spacing w:after="40"/>
        <w:ind w:left="1008" w:hanging="259"/>
      </w:pPr>
      <w:r>
        <w:rPr>
          <w:b w:val="0"/>
        </w:rPr>
        <w:t>critical, FDA observations and repeat major findings: the Quality Lead leads a team analysis with the PI, Site Director and staff involved, using a fishbone diagram and 5 whys, and reviews related records across all affected studies</w:t>
      </w:r>
    </w:p>
    <w:p>
      <w:pPr>
        <w:tabs>
          <w:tab w:pos="648" w:val="left"/>
        </w:tabs>
        <w:ind w:left="648" w:hanging="648"/>
      </w:pPr>
      <w:r>
        <w:rPr>
          <w:b/>
        </w:rPr>
        <w:t>5.7.3</w:t>
        <w:tab/>
      </w:r>
      <w:r>
        <w:rPr>
          <w:b w:val="0"/>
        </w:rPr>
        <w:t>For 5 whys, the team states the problem as a fact (what, where, when, how many) and asks why, answering with evidence, until it reaches a cause the site controls. For a fishbone, the team tests possible causes under people, procedures, protocol and sponsor tools, equipment and systems, environment, and communication.</w:t>
      </w:r>
    </w:p>
    <w:p>
      <w:pPr>
        <w:tabs>
          <w:tab w:pos="648" w:val="left"/>
        </w:tabs>
        <w:ind w:left="648" w:hanging="648"/>
      </w:pPr>
      <w:r>
        <w:rPr>
          <w:b/>
        </w:rPr>
        <w:t>5.7.4</w:t>
        <w:tab/>
      </w:r>
      <w:r>
        <w:rPr>
          <w:b w:val="0"/>
        </w:rPr>
        <w:t>"Human error" or "did not follow the SOP" is not a root cause by itself; the team asks why the error was possible. The analysis looks at the process, not blame. Suspected deliberate misconduct goes to SOP-M5 (if adopted) or 5.6.5. The analysis, evidence and root cause statement are recorded on F-703-01.</w:t>
      </w:r>
    </w:p>
    <w:p>
      <w:pPr>
        <w:tabs>
          <w:tab w:pos="648" w:val="left"/>
        </w:tabs>
        <w:ind w:left="648" w:hanging="648"/>
      </w:pPr>
      <w:r>
        <w:rPr>
          <w:b/>
        </w:rPr>
        <w:t>5.7.5</w:t>
        <w:tab/>
      </w:r>
      <w:r>
        <w:rPr>
          <w:b w:val="0"/>
        </w:rPr>
        <w:t xml:space="preserve">Root cause analysis is complete within </w:t>
      </w:r>
      <w:r>
        <w:rPr>
          <w:b w:val="0"/>
          <w:highlight w:val="green"/>
        </w:rPr>
        <w:t>[DEFAULT: 20 business days of opening for minor, 15 for major, 10 for critical]</w:t>
      </w:r>
      <w:r>
        <w:rPr>
          <w:b w:val="0"/>
        </w:rPr>
        <w:t>, or sooner where an external deadline applies (for example the 15-business-day response to a Form FDA 483, SOP-13).</w:t>
      </w:r>
    </w:p>
    <w:p>
      <w:pPr>
        <w:pStyle w:val="Heading2"/>
      </w:pPr>
      <w:r>
        <w:t>5.8 CAPA plan</w:t>
      </w:r>
    </w:p>
    <w:p>
      <w:pPr>
        <w:tabs>
          <w:tab w:pos="648" w:val="left"/>
        </w:tabs>
        <w:ind w:left="648" w:hanging="648"/>
      </w:pPr>
      <w:r>
        <w:rPr>
          <w:b/>
        </w:rPr>
        <w:t>5.8.1</w:t>
        <w:tab/>
      </w:r>
      <w:r>
        <w:rPr>
          <w:b w:val="0"/>
        </w:rPr>
        <w:t>The Quality Lead and CAPA owner write the plan on F-703-01. For each action it states what will be done, whether it is corrective or preventive, the named owner, the due date and the evidence of completion.</w:t>
      </w:r>
    </w:p>
    <w:p>
      <w:pPr>
        <w:tabs>
          <w:tab w:pos="648" w:val="left"/>
        </w:tabs>
        <w:ind w:left="648" w:hanging="648"/>
      </w:pPr>
      <w:r>
        <w:rPr>
          <w:b/>
        </w:rPr>
        <w:t>5.8.2</w:t>
        <w:tab/>
      </w:r>
      <w:r>
        <w:rPr>
          <w:b w:val="0"/>
        </w:rPr>
        <w:t>Actions address the root cause. Retraining alone is acceptable only for a knowledge gap; a process or tool cause gets a process or tool change. Preventive actions extend to other studies, staff or locations with the same cause.</w:t>
      </w:r>
    </w:p>
    <w:p>
      <w:pPr>
        <w:tabs>
          <w:tab w:pos="648" w:val="left"/>
        </w:tabs>
        <w:ind w:left="648" w:hanging="648"/>
      </w:pPr>
      <w:r>
        <w:rPr>
          <w:b/>
        </w:rPr>
        <w:t>5.8.3</w:t>
        <w:tab/>
      </w:r>
      <w:r>
        <w:rPr>
          <w:b w:val="0"/>
        </w:rPr>
        <w:t>SOP and form changes go through SOP-01, and training is recorded on F-103-01.</w:t>
      </w:r>
    </w:p>
    <w:p>
      <w:pPr>
        <w:tabs>
          <w:tab w:pos="648" w:val="left"/>
        </w:tabs>
        <w:ind w:left="648" w:hanging="648"/>
      </w:pPr>
      <w:r>
        <w:rPr>
          <w:b/>
        </w:rPr>
        <w:t>5.8.4</w:t>
        <w:tab/>
      </w:r>
      <w:r>
        <w:rPr>
          <w:b w:val="0"/>
        </w:rPr>
        <w:t>The PI approves plans affecting study conduct, the Site Director approves plans needing budget, staffing or vendor changes, and the Quality Lead approves all plans.</w:t>
      </w:r>
    </w:p>
    <w:p>
      <w:pPr>
        <w:tabs>
          <w:tab w:pos="648" w:val="left"/>
        </w:tabs>
        <w:ind w:left="648" w:hanging="648"/>
      </w:pPr>
      <w:r>
        <w:rPr>
          <w:b/>
        </w:rPr>
        <w:t>5.8.5</w:t>
        <w:tab/>
      </w:r>
      <w:r>
        <w:rPr>
          <w:b w:val="0"/>
        </w:rPr>
        <w:t>A CAPA arising from a sponsor, IRB or FDA finding is the basis of the site's written response (SOP-13). The PI decides with the Quality Lead whether the CAPA must be reported to the sponsor or IRB.</w:t>
      </w:r>
    </w:p>
    <w:p>
      <w:pPr>
        <w:pStyle w:val="Heading2"/>
      </w:pPr>
      <w:r>
        <w:t>5.9 Tracking, effectiveness and closure</w:t>
      </w:r>
    </w:p>
    <w:p>
      <w:pPr>
        <w:tabs>
          <w:tab w:pos="648" w:val="left"/>
        </w:tabs>
        <w:ind w:left="648" w:hanging="648"/>
      </w:pPr>
      <w:r>
        <w:rPr>
          <w:b/>
        </w:rPr>
        <w:t>5.9.1</w:t>
        <w:tab/>
      </w:r>
      <w:r>
        <w:rPr>
          <w:b w:val="0"/>
        </w:rPr>
        <w:t>The Quality Lead tracks every open CAPA on F-703-02 and follows up each action on its due date. An owner who cannot meet a date asks for an extension before it, with a reason, and the Quality Lead records the new date. Extensions on CAPAs promised to FDA, a sponsor or an IRB are communicated to them before the original date. Overdue CAPAs are escalated to the Site Director.</w:t>
      </w:r>
    </w:p>
    <w:p>
      <w:pPr>
        <w:tabs>
          <w:tab w:pos="648" w:val="left"/>
        </w:tabs>
        <w:ind w:left="648" w:hanging="648"/>
      </w:pPr>
      <w:r>
        <w:rPr>
          <w:b/>
        </w:rPr>
        <w:t>5.9.2</w:t>
        <w:tab/>
      </w:r>
      <w:r>
        <w:rPr>
          <w:b w:val="0"/>
        </w:rPr>
        <w:t xml:space="preserve">Each plan defines an effectiveness check: the measure (for example consent QC error rate or deviations of the same type), the target, and the period </w:t>
      </w:r>
      <w:r>
        <w:rPr>
          <w:b w:val="0"/>
          <w:highlight w:val="green"/>
        </w:rPr>
        <w:t>[DEFAULT: the later of 3 months or the next 10 occurrences; for rare activities, the next 3 occurrences or 12 months, whichever comes first]</w:t>
      </w:r>
      <w:r>
        <w:rPr>
          <w:b w:val="0"/>
        </w:rPr>
        <w:t>. After the actions are complete and the period has passed, the check is performed by a person other than the CAPA owner where one is available (fallback in 5.9.4), who records the result and evidence on F-703-01. If the target is not met, the Quality Lead reopens the analysis, revises the plan and sets a new check.</w:t>
      </w:r>
    </w:p>
    <w:p>
      <w:pPr>
        <w:tabs>
          <w:tab w:pos="648" w:val="left"/>
        </w:tabs>
        <w:ind w:left="648" w:hanging="648"/>
      </w:pPr>
      <w:r>
        <w:rPr>
          <w:b/>
        </w:rPr>
        <w:t>5.9.3</w:t>
        <w:tab/>
      </w:r>
      <w:r>
        <w:rPr>
          <w:b w:val="0"/>
        </w:rPr>
        <w:t>The Quality Lead approves closure on F-703-01 when all actions are complete with evidence, the effectiveness check met its target, and commitments to FDA, sponsors or IRBs are fulfilled and communicated.</w:t>
      </w:r>
    </w:p>
    <w:p>
      <w:pPr>
        <w:tabs>
          <w:tab w:pos="648" w:val="left"/>
        </w:tabs>
        <w:ind w:left="648" w:hanging="648"/>
      </w:pPr>
      <w:r>
        <w:rPr>
          <w:b/>
        </w:rPr>
        <w:t>5.9.4</w:t>
        <w:tab/>
      </w:r>
      <w:r>
        <w:rPr>
          <w:b w:val="0"/>
        </w:rPr>
        <w:t>One-person fallback: where the Quality Lead owned an action or performed the effectiveness check, the Site Director approves closure. Where the Site Director is also the Quality Lead, closure, escalation of overdue CAPAs and any check of the Quality Lead's own work go to the PI or, where the PI is the same person, to the independent reviewer named in SOP-02. Where the only person able to check effectiveness is the CAPA owner, the owner performs it and the independent reviewer verifies it.</w:t>
      </w:r>
    </w:p>
    <w:p>
      <w:pPr>
        <w:tabs>
          <w:tab w:pos="648" w:val="left"/>
        </w:tabs>
        <w:ind w:left="648" w:hanging="648"/>
      </w:pPr>
      <w:r>
        <w:rPr>
          <w:b/>
        </w:rPr>
        <w:t>5.9.5</w:t>
        <w:tab/>
      </w:r>
      <w:r>
        <w:rPr>
          <w:b w:val="0"/>
        </w:rPr>
        <w:t>Closed CAPA records are kept in the quality file, with a copy or reference in the ISF where they relate to a study, and retained under SOP-12 as essential records (ICH E6(R3) Appendix C).</w:t>
      </w:r>
    </w:p>
    <w:p>
      <w:pPr>
        <w:pStyle w:val="Heading2"/>
      </w:pPr>
      <w:r>
        <w:t>5.10 Trending</w:t>
      </w:r>
    </w:p>
    <w:p>
      <w:pPr>
        <w:tabs>
          <w:tab w:pos="648" w:val="left"/>
        </w:tabs>
        <w:ind w:left="648" w:hanging="648"/>
      </w:pPr>
      <w:r>
        <w:rPr>
          <w:b/>
        </w:rPr>
        <w:t>5.10.1</w:t>
        <w:tab/>
      </w:r>
      <w:r>
        <w:rPr>
          <w:b w:val="0"/>
        </w:rPr>
        <w:t>At the quarterly quality review (SOP-14), the Quality Lead reviews F-308-01 for all active studies and F-703-02 for repeated deviation types, causes or staff, CAPAs opened and closed, overdue CAPAs, failed effectiveness checks and repeated root causes. Repeated root causes across CAPAs open a new site-level CAPA. Trends and CAPA status go to the annual management review (SOP-14).</w:t>
      </w:r>
    </w:p>
    <w:p>
      <w:pPr>
        <w:tabs>
          <w:tab w:pos="648" w:val="left"/>
        </w:tabs>
        <w:ind w:left="648" w:hanging="648"/>
      </w:pPr>
      <w:r>
        <w:rPr>
          <w:b/>
        </w:rPr>
        <w:t>5.10.2</w:t>
        <w:tab/>
      </w:r>
      <w:r>
        <w:rPr>
          <w:b w:val="0"/>
        </w:rPr>
        <w:t>The Lead CRC reviews F-308-01 for the study before each monitoring visit, as part of the reconciliation in 5.3.5.</w:t>
      </w:r>
    </w:p>
    <w:p>
      <w:pPr>
        <w:pStyle w:val="Heading1"/>
      </w:pPr>
      <w:r>
        <w:t>6. Related Forms and SOPs</w:t>
      </w:r>
    </w:p>
    <w:p>
      <w:pPr>
        <w:pStyle w:val="ListBullet"/>
        <w:spacing w:after="40"/>
        <w:ind w:left="360" w:hanging="259"/>
      </w:pPr>
      <w:r>
        <w:rPr>
          <w:b w:val="0"/>
        </w:rPr>
        <w:t>F-308-01 Protocol Deviation Log</w:t>
      </w:r>
    </w:p>
    <w:p>
      <w:pPr>
        <w:pStyle w:val="ListBullet"/>
        <w:spacing w:after="40"/>
        <w:ind w:left="360" w:hanging="259"/>
      </w:pPr>
      <w:r>
        <w:rPr>
          <w:b w:val="0"/>
        </w:rPr>
        <w:t>F-502-01 Reportable New Information Assessment</w:t>
      </w:r>
    </w:p>
    <w:p>
      <w:pPr>
        <w:pStyle w:val="ListBullet"/>
        <w:spacing w:after="40"/>
        <w:ind w:left="360" w:hanging="259"/>
      </w:pPr>
      <w:r>
        <w:rPr>
          <w:b w:val="0"/>
        </w:rPr>
        <w:t>F-703-01 CAPA Record</w:t>
      </w:r>
    </w:p>
    <w:p>
      <w:pPr>
        <w:pStyle w:val="ListBullet"/>
        <w:spacing w:after="40"/>
        <w:ind w:left="360" w:hanging="259"/>
      </w:pPr>
      <w:r>
        <w:rPr>
          <w:b w:val="0"/>
        </w:rPr>
        <w:t>F-703-02 CAPA Log</w:t>
      </w:r>
    </w:p>
    <w:p>
      <w:pPr>
        <w:pStyle w:val="ListBullet"/>
        <w:spacing w:after="40"/>
        <w:ind w:left="360" w:hanging="259"/>
      </w:pPr>
      <w:r>
        <w:rPr>
          <w:b w:val="0"/>
        </w:rPr>
        <w:t>F-103-01 Staff Training Log</w:t>
      </w:r>
    </w:p>
    <w:p>
      <w:pPr>
        <w:pStyle w:val="ListBullet"/>
        <w:spacing w:after="40"/>
        <w:ind w:left="360" w:hanging="259"/>
      </w:pPr>
      <w:r>
        <w:rPr>
          <w:b w:val="0"/>
        </w:rPr>
        <w:t>SOP-01 SOP Control, Training and Qualification</w:t>
      </w:r>
    </w:p>
    <w:p>
      <w:pPr>
        <w:pStyle w:val="ListBullet"/>
        <w:spacing w:after="40"/>
        <w:ind w:left="360" w:hanging="259"/>
      </w:pPr>
      <w:r>
        <w:rPr>
          <w:b w:val="0"/>
        </w:rPr>
        <w:t>SOP-02 Roles, PI Oversight, Delegation and Conflicts of Interest</w:t>
      </w:r>
    </w:p>
    <w:p>
      <w:pPr>
        <w:pStyle w:val="ListBullet"/>
        <w:spacing w:after="40"/>
        <w:ind w:left="360" w:hanging="259"/>
      </w:pPr>
      <w:r>
        <w:rPr>
          <w:b w:val="0"/>
        </w:rPr>
        <w:t>SOP-03 IRB Oversight, Essential Records and Study Activation</w:t>
      </w:r>
    </w:p>
    <w:p>
      <w:pPr>
        <w:pStyle w:val="ListBullet"/>
        <w:spacing w:after="40"/>
        <w:ind w:left="360" w:hanging="259"/>
      </w:pPr>
      <w:r>
        <w:rPr>
          <w:b w:val="0"/>
        </w:rPr>
        <w:t>SOP-04 Informed Consent</w:t>
      </w:r>
    </w:p>
    <w:p>
      <w:pPr>
        <w:pStyle w:val="ListBullet"/>
        <w:spacing w:after="40"/>
        <w:ind w:left="360" w:hanging="259"/>
      </w:pPr>
      <w:r>
        <w:rPr>
          <w:b w:val="0"/>
        </w:rPr>
        <w:t>SOP-05 Pre-Screening, Screening, Eligibility, Randomization and Blinding</w:t>
      </w:r>
    </w:p>
    <w:p>
      <w:pPr>
        <w:pStyle w:val="ListBullet"/>
        <w:spacing w:after="40"/>
        <w:ind w:left="360" w:hanging="259"/>
      </w:pPr>
      <w:r>
        <w:rPr>
          <w:b w:val="0"/>
        </w:rPr>
        <w:t>SOP-06 Investigational Product Management</w:t>
      </w:r>
    </w:p>
    <w:p>
      <w:pPr>
        <w:pStyle w:val="ListBullet"/>
        <w:spacing w:after="40"/>
        <w:ind w:left="360" w:hanging="259"/>
      </w:pPr>
      <w:r>
        <w:rPr>
          <w:b w:val="0"/>
        </w:rPr>
        <w:t>SOP-09 Safety Reporting (AEs, SAEs, IRB-Reportable Events, Pregnancy)</w:t>
      </w:r>
    </w:p>
    <w:p>
      <w:pPr>
        <w:pStyle w:val="ListBullet"/>
        <w:spacing w:after="40"/>
        <w:ind w:left="360" w:hanging="259"/>
      </w:pPr>
      <w:r>
        <w:rPr>
          <w:b w:val="0"/>
        </w:rPr>
        <w:t>SOP-12 Privacy, Electronic Systems and Record Retention</w:t>
      </w:r>
    </w:p>
    <w:p>
      <w:pPr>
        <w:pStyle w:val="ListBullet"/>
        <w:spacing w:after="40"/>
        <w:ind w:left="360" w:hanging="259"/>
      </w:pPr>
      <w:r>
        <w:rPr>
          <w:b w:val="0"/>
        </w:rPr>
        <w:t>SOP-13 Monitoring, Audits and Inspections</w:t>
      </w:r>
    </w:p>
    <w:p>
      <w:pPr>
        <w:pStyle w:val="ListBullet"/>
        <w:spacing w:after="40"/>
        <w:ind w:left="360" w:hanging="259"/>
      </w:pPr>
      <w:r>
        <w:rPr>
          <w:b w:val="0"/>
        </w:rPr>
        <w:t>SOP-14 Quality Control and Quality Review</w:t>
      </w:r>
    </w:p>
    <w:p>
      <w:pPr>
        <w:pStyle w:val="ListBullet"/>
        <w:spacing w:after="40"/>
        <w:ind w:left="360" w:hanging="259"/>
      </w:pPr>
      <w:r>
        <w:rPr>
          <w:b w:val="0"/>
        </w:rPr>
        <w:t>SOP-M5 Research Integrity and Misconduct Reporting (if adopted)</w:t>
      </w:r>
    </w:p>
    <w:p>
      <w:pPr>
        <w:pStyle w:val="Heading1"/>
      </w:pPr>
      <w:r>
        <w:t>7. References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Reference</w:t>
            </w:r>
          </w:p>
        </w:tc>
        <w:tc>
          <w:tcPr>
            <w:tcW w:type="dxa" w:w="6946"/>
            <w:shd w:val="clear" w:color="auto" w:fill="D9E2F3"/>
          </w:tcPr>
          <w:p>
            <w:pPr>
              <w:spacing w:after="0"/>
            </w:pPr>
            <w:r>
              <w:rPr>
                <w:b/>
                <w:sz w:val="19"/>
              </w:rPr>
              <w:t>Title</w:t>
            </w:r>
          </w:p>
        </w:tc>
      </w:tr>
      <w:tr>
        <w:trPr>
          <w:cantSplit w:val="true"/>
        </w:trPr>
        <w:tc>
          <w:tcPr>
            <w:tcW w:type="dxa" w:w="2701"/>
          </w:tcPr>
          <w:p>
            <w:pPr>
              <w:spacing w:after="0"/>
            </w:pPr>
            <w:r>
              <w:rPr>
                <w:b w:val="0"/>
                <w:sz w:val="19"/>
              </w:rPr>
              <w:t>21 CFR 312.60 and 312.66</w:t>
            </w:r>
          </w:p>
        </w:tc>
        <w:tc>
          <w:tcPr>
            <w:tcW w:type="dxa" w:w="6946"/>
          </w:tcPr>
          <w:p>
            <w:pPr>
              <w:spacing w:after="0"/>
            </w:pPr>
            <w:r>
              <w:rPr>
                <w:b w:val="0"/>
                <w:sz w:val="19"/>
              </w:rPr>
              <w:t>Investigator responsibilities; assurance of IRB review</w:t>
            </w:r>
          </w:p>
        </w:tc>
      </w:tr>
      <w:tr>
        <w:trPr>
          <w:cantSplit w:val="true"/>
        </w:trPr>
        <w:tc>
          <w:tcPr>
            <w:tcW w:type="dxa" w:w="2701"/>
          </w:tcPr>
          <w:p>
            <w:pPr>
              <w:spacing w:after="0"/>
            </w:pPr>
            <w:r>
              <w:rPr>
                <w:b w:val="0"/>
                <w:sz w:val="19"/>
              </w:rPr>
              <w:t>21 CFR 56.108</w:t>
            </w:r>
          </w:p>
        </w:tc>
        <w:tc>
          <w:tcPr>
            <w:tcW w:type="dxa" w:w="6946"/>
          </w:tcPr>
          <w:p>
            <w:pPr>
              <w:spacing w:after="0"/>
            </w:pPr>
            <w:r>
              <w:rPr>
                <w:b w:val="0"/>
                <w:sz w:val="19"/>
              </w:rPr>
              <w:t>IRB functions and operations</w:t>
            </w:r>
          </w:p>
        </w:tc>
      </w:tr>
      <w:tr>
        <w:trPr>
          <w:cantSplit w:val="true"/>
        </w:trPr>
        <w:tc>
          <w:tcPr>
            <w:tcW w:type="dxa" w:w="2701"/>
          </w:tcPr>
          <w:p>
            <w:pPr>
              <w:spacing w:after="0"/>
            </w:pPr>
            <w:r>
              <w:rPr>
                <w:b w:val="0"/>
                <w:sz w:val="19"/>
              </w:rPr>
              <w:t>21 CFR 812.100 and 812.150(a)(4)</w:t>
            </w:r>
          </w:p>
        </w:tc>
        <w:tc>
          <w:tcPr>
            <w:tcW w:type="dxa" w:w="6946"/>
          </w:tcPr>
          <w:p>
            <w:pPr>
              <w:spacing w:after="0"/>
            </w:pPr>
            <w:r>
              <w:rPr>
                <w:b w:val="0"/>
                <w:sz w:val="19"/>
              </w:rPr>
              <w:t>Investigator responsibilities and reports (devices)</w:t>
            </w:r>
          </w:p>
        </w:tc>
      </w:tr>
      <w:tr>
        <w:trPr>
          <w:cantSplit w:val="true"/>
        </w:trPr>
        <w:tc>
          <w:tcPr>
            <w:tcW w:type="dxa" w:w="2701"/>
          </w:tcPr>
          <w:p>
            <w:pPr>
              <w:spacing w:after="0"/>
            </w:pPr>
            <w:r>
              <w:rPr>
                <w:b w:val="0"/>
                <w:sz w:val="19"/>
              </w:rPr>
              <w:t>21 CFR 812.35(a)</w:t>
            </w:r>
          </w:p>
        </w:tc>
        <w:tc>
          <w:tcPr>
            <w:tcW w:type="dxa" w:w="6946"/>
          </w:tcPr>
          <w:p>
            <w:pPr>
              <w:spacing w:after="0"/>
            </w:pPr>
            <w:r>
              <w:rPr>
                <w:b w:val="0"/>
                <w:sz w:val="19"/>
              </w:rPr>
              <w:t>Changes in investigational plan (devices)</w:t>
            </w:r>
          </w:p>
        </w:tc>
      </w:tr>
      <w:tr>
        <w:trPr>
          <w:cantSplit w:val="true"/>
        </w:trPr>
        <w:tc>
          <w:tcPr>
            <w:tcW w:type="dxa" w:w="2701"/>
          </w:tcPr>
          <w:p>
            <w:pPr>
              <w:spacing w:after="0"/>
            </w:pPr>
            <w:r>
              <w:rPr>
                <w:b w:val="0"/>
                <w:sz w:val="19"/>
              </w:rPr>
              <w:t>45 CFR 46.108</w:t>
            </w:r>
          </w:p>
        </w:tc>
        <w:tc>
          <w:tcPr>
            <w:tcW w:type="dxa" w:w="6946"/>
          </w:tcPr>
          <w:p>
            <w:pPr>
              <w:spacing w:after="0"/>
            </w:pPr>
            <w:r>
              <w:rPr>
                <w:b w:val="0"/>
                <w:sz w:val="19"/>
              </w:rPr>
              <w:t>IRB functions and operations (federally funded research only)</w:t>
            </w:r>
          </w:p>
        </w:tc>
      </w:tr>
      <w:tr>
        <w:trPr>
          <w:cantSplit w:val="true"/>
        </w:trPr>
        <w:tc>
          <w:tcPr>
            <w:tcW w:type="dxa" w:w="2701"/>
          </w:tcPr>
          <w:p>
            <w:pPr>
              <w:spacing w:after="0"/>
            </w:pPr>
            <w:r>
              <w:rPr>
                <w:b w:val="0"/>
                <w:sz w:val="19"/>
              </w:rPr>
              <w:t>ICH E6(R3) Principles 6 and 7</w:t>
            </w:r>
          </w:p>
        </w:tc>
        <w:tc>
          <w:tcPr>
            <w:tcW w:type="dxa" w:w="6946"/>
          </w:tcPr>
          <w:p>
            <w:pPr>
              <w:spacing w:after="0"/>
            </w:pPr>
            <w:r>
              <w:rPr>
                <w:b w:val="0"/>
                <w:sz w:val="19"/>
              </w:rPr>
              <w:t>Quality by design; risk-proportionate processes</w:t>
            </w:r>
          </w:p>
        </w:tc>
      </w:tr>
      <w:tr>
        <w:trPr>
          <w:cantSplit w:val="true"/>
        </w:trPr>
        <w:tc>
          <w:tcPr>
            <w:tcW w:type="dxa" w:w="2701"/>
          </w:tcPr>
          <w:p>
            <w:pPr>
              <w:spacing w:after="0"/>
            </w:pPr>
            <w:r>
              <w:rPr>
                <w:b w:val="0"/>
                <w:sz w:val="19"/>
              </w:rPr>
              <w:t>ICH E6(R3) Annex 1, 2.5</w:t>
            </w:r>
          </w:p>
        </w:tc>
        <w:tc>
          <w:tcPr>
            <w:tcW w:type="dxa" w:w="6946"/>
          </w:tcPr>
          <w:p>
            <w:pPr>
              <w:spacing w:after="0"/>
            </w:pPr>
            <w:r>
              <w:rPr>
                <w:b w:val="0"/>
                <w:sz w:val="19"/>
              </w:rPr>
              <w:t>Compliance with Protocol</w:t>
            </w:r>
          </w:p>
        </w:tc>
      </w:tr>
      <w:tr>
        <w:trPr>
          <w:cantSplit w:val="true"/>
        </w:trPr>
        <w:tc>
          <w:tcPr>
            <w:tcW w:type="dxa" w:w="2701"/>
          </w:tcPr>
          <w:p>
            <w:pPr>
              <w:spacing w:after="0"/>
            </w:pPr>
            <w:r>
              <w:rPr>
                <w:b w:val="0"/>
                <w:sz w:val="19"/>
              </w:rPr>
              <w:t>ICH E6(R3) Annex 1, 3.9.3 and 3.12</w:t>
            </w:r>
          </w:p>
        </w:tc>
        <w:tc>
          <w:tcPr>
            <w:tcW w:type="dxa" w:w="6946"/>
          </w:tcPr>
          <w:p>
            <w:pPr>
              <w:spacing w:after="0"/>
            </w:pPr>
            <w:r>
              <w:rPr>
                <w:b w:val="0"/>
                <w:sz w:val="19"/>
              </w:rPr>
              <w:t>Important protocol deviations; Noncompliance</w:t>
            </w:r>
          </w:p>
        </w:tc>
      </w:tr>
      <w:tr>
        <w:trPr>
          <w:cantSplit w:val="true"/>
        </w:trPr>
        <w:tc>
          <w:tcPr>
            <w:tcW w:type="dxa" w:w="2701"/>
          </w:tcPr>
          <w:p>
            <w:pPr>
              <w:spacing w:after="0"/>
            </w:pPr>
            <w:r>
              <w:rPr>
                <w:b w:val="0"/>
                <w:sz w:val="19"/>
              </w:rPr>
              <w:t>ICH E6(R3) Appendix C</w:t>
            </w:r>
          </w:p>
        </w:tc>
        <w:tc>
          <w:tcPr>
            <w:tcW w:type="dxa" w:w="6946"/>
          </w:tcPr>
          <w:p>
            <w:pPr>
              <w:spacing w:after="0"/>
            </w:pPr>
            <w:r>
              <w:rPr>
                <w:b w:val="0"/>
                <w:sz w:val="19"/>
              </w:rPr>
              <w:t>Essential Records (noncompliance and CAPA records)</w:t>
            </w:r>
          </w:p>
        </w:tc>
      </w:tr>
      <w:tr>
        <w:trPr>
          <w:cantSplit w:val="true"/>
        </w:trPr>
        <w:tc>
          <w:tcPr>
            <w:tcW w:type="dxa" w:w="2701"/>
          </w:tcPr>
          <w:p>
            <w:pPr>
              <w:spacing w:after="0"/>
            </w:pPr>
            <w:r>
              <w:rPr>
                <w:b w:val="0"/>
                <w:sz w:val="19"/>
              </w:rPr>
              <w:t>FDA Compliance Program 7348.811</w:t>
            </w:r>
          </w:p>
        </w:tc>
        <w:tc>
          <w:tcPr>
            <w:tcW w:type="dxa" w:w="6946"/>
          </w:tcPr>
          <w:p>
            <w:pPr>
              <w:spacing w:after="0"/>
            </w:pPr>
            <w:r>
              <w:rPr>
                <w:b w:val="0"/>
                <w:sz w:val="19"/>
              </w:rPr>
              <w:t>Bioresearch Monitoring: Clinical Investigators and Sponsor-Investigators</w:t>
            </w:r>
          </w:p>
        </w:tc>
      </w:tr>
      <w:tr>
        <w:trPr>
          <w:cantSplit w:val="true"/>
        </w:trPr>
        <w:tc>
          <w:tcPr>
            <w:tcW w:type="dxa" w:w="2701"/>
          </w:tcPr>
          <w:p>
            <w:pPr>
              <w:spacing w:after="0"/>
            </w:pPr>
            <w:r>
              <w:rPr>
                <w:b w:val="0"/>
                <w:sz w:val="19"/>
              </w:rPr>
              <w:t>Reference Edition SOP-308, SOP-703</w:t>
            </w:r>
          </w:p>
        </w:tc>
        <w:tc>
          <w:tcPr>
            <w:tcW w:type="dxa" w:w="6946"/>
          </w:tcPr>
          <w:p>
            <w:pPr>
              <w:spacing w:after="0"/>
            </w:pPr>
            <w:r>
              <w:rPr>
                <w:b w:val="0"/>
                <w:sz w:val="19"/>
              </w:rPr>
              <w:t>Background and full text</w:t>
            </w:r>
          </w:p>
        </w:tc>
      </w:tr>
    </w:tbl>
    <w:p>
      <w:pPr>
        <w:spacing w:after="40"/>
      </w:pPr>
    </w:p>
    <w:p>
      <w:pPr>
        <w:pStyle w:val="Heading1"/>
      </w:pPr>
      <w:r>
        <w:t>Revision History</w:t>
      </w:r>
    </w:p>
    <w:tbl>
      <w:tblPr>
        <w:tblStyle w:val="TableGrid"/>
        <w:tblW w:type="auto" w:w="0"/>
        <w:jc w:val="left"/>
        <w:tblLayout w:type="fixed"/>
        <w:tblLook w:firstColumn="1" w:firstRow="1" w:lastColumn="0" w:lastRow="0" w:noHBand="0" w:noVBand="1" w:val="04A0"/>
      </w:tblPr>
      <w:tblGrid>
        <w:gridCol w:w="1157"/>
        <w:gridCol w:w="1736"/>
        <w:gridCol w:w="4824"/>
        <w:gridCol w:w="1929"/>
      </w:tblGrid>
      <w:tr>
        <w:trPr>
          <w:tblHeader w:val="true"/>
        </w:trPr>
        <w:tc>
          <w:tcPr>
            <w:tcW w:type="dxa" w:w="1157"/>
            <w:shd w:val="clear" w:color="auto" w:fill="D9E2F3"/>
          </w:tcPr>
          <w:p>
            <w:pPr>
              <w:keepNext/>
              <w:spacing w:after="0"/>
            </w:pPr>
            <w:r>
              <w:rPr>
                <w:b/>
                <w:sz w:val="19"/>
              </w:rPr>
              <w:t>Version</w:t>
            </w:r>
          </w:p>
        </w:tc>
        <w:tc>
          <w:tcPr>
            <w:tcW w:type="dxa" w:w="1736"/>
            <w:shd w:val="clear" w:color="auto" w:fill="D9E2F3"/>
          </w:tcPr>
          <w:p>
            <w:pPr>
              <w:keepNext/>
              <w:spacing w:after="0"/>
            </w:pPr>
            <w:r>
              <w:rPr>
                <w:b/>
                <w:sz w:val="19"/>
              </w:rPr>
              <w:t>Effective Date</w:t>
            </w:r>
          </w:p>
        </w:tc>
        <w:tc>
          <w:tcPr>
            <w:tcW w:type="dxa" w:w="4824"/>
            <w:shd w:val="clear" w:color="auto" w:fill="D9E2F3"/>
          </w:tcPr>
          <w:p>
            <w:pPr>
              <w:keepNext/>
              <w:spacing w:after="0"/>
            </w:pPr>
            <w:r>
              <w:rPr>
                <w:b/>
                <w:sz w:val="19"/>
              </w:rPr>
              <w:t>Description of Change</w:t>
            </w:r>
          </w:p>
        </w:tc>
        <w:tc>
          <w:tcPr>
            <w:tcW w:type="dxa" w:w="1929"/>
            <w:shd w:val="clear" w:color="auto" w:fill="D9E2F3"/>
          </w:tcPr>
          <w:p>
            <w:pPr>
              <w:keepNext/>
              <w:spacing w:after="0"/>
            </w:pPr>
            <w:r>
              <w:rPr>
                <w:b/>
                <w:sz w:val="19"/>
              </w:rPr>
              <w:t>Author</w:t>
            </w:r>
          </w:p>
        </w:tc>
      </w:tr>
      <w:tr>
        <w:trPr>
          <w:cantSplit w:val="true"/>
        </w:trPr>
        <w:tc>
          <w:tcPr>
            <w:tcW w:type="dxa" w:w="1157"/>
          </w:tcPr>
          <w:p>
            <w:pPr>
              <w:keepNext/>
              <w:spacing w:after="0"/>
            </w:pPr>
            <w:r>
              <w:rPr>
                <w:b w:val="0"/>
                <w:sz w:val="19"/>
              </w:rPr>
              <w:t>1.0</w:t>
            </w:r>
          </w:p>
        </w:tc>
        <w:tc>
          <w:tcPr>
            <w:tcW w:type="dxa" w:w="1736"/>
          </w:tcPr>
          <w:p>
            <w:pPr>
              <w:keepNext/>
              <w:spacing w:after="0"/>
            </w:pPr>
            <w:r>
              <w:rPr>
                <w:b w:val="0"/>
                <w:sz w:val="19"/>
                <w:highlight w:val="yellow"/>
              </w:rPr>
              <w:t>[EFFECTIVE DATE]</w:t>
            </w:r>
          </w:p>
        </w:tc>
        <w:tc>
          <w:tcPr>
            <w:tcW w:type="dxa" w:w="4824"/>
          </w:tcPr>
          <w:p>
            <w:pPr>
              <w:keepNext/>
              <w:spacing w:after="0"/>
            </w:pPr>
            <w:r>
              <w:rPr>
                <w:b w:val="0"/>
                <w:sz w:val="19"/>
              </w:rPr>
              <w:t xml:space="preserve">Initial issue at </w:t>
            </w:r>
            <w:r>
              <w:rPr>
                <w:b w:val="0"/>
                <w:sz w:val="19"/>
                <w:highlight w:val="yellow"/>
              </w:rPr>
              <w:t>[SITE NAME]</w:t>
            </w:r>
            <w:r>
              <w:rPr>
                <w:b w:val="0"/>
                <w:sz w:val="19"/>
              </w:rPr>
              <w:t xml:space="preserve">, adopted from Independent Site SOP Library: Lean Edition template release 2.0. Replaces </w:t>
            </w:r>
            <w:r>
              <w:rPr>
                <w:b w:val="0"/>
                <w:sz w:val="19"/>
                <w:highlight w:val="yellow"/>
              </w:rPr>
              <w:t>[PRIOR SITE SOP OR NONE]</w:t>
            </w:r>
            <w:r>
              <w:rPr>
                <w:b w:val="0"/>
                <w:sz w:val="19"/>
              </w:rPr>
              <w:t>.</w:t>
            </w:r>
          </w:p>
        </w:tc>
        <w:tc>
          <w:tcPr>
            <w:tcW w:type="dxa" w:w="1929"/>
          </w:tcPr>
          <w:p>
            <w:pPr>
              <w:keepNext/>
              <w:spacing w:after="0"/>
            </w:pPr>
            <w:r>
              <w:rPr>
                <w:b w:val="0"/>
                <w:sz w:val="19"/>
                <w:highlight w:val="yellow"/>
              </w:rPr>
              <w:t>[AUTHOR]</w:t>
            </w:r>
          </w:p>
        </w:tc>
      </w:tr>
      <w:tr>
        <w:trPr>
          <w:cantSplit w:val="true"/>
          <w:trHeight w:val="432"/>
        </w:trPr>
        <w:tc>
          <w:tcPr>
            <w:tcW w:type="dxa" w:w="1157"/>
          </w:tcPr>
          <w:p>
            <w:pPr>
              <w:spacing w:after="0"/>
            </w:pPr>
          </w:p>
        </w:tc>
        <w:tc>
          <w:tcPr>
            <w:tcW w:type="dxa" w:w="1736"/>
          </w:tcPr>
          <w:p>
            <w:pPr>
              <w:spacing w:after="0"/>
            </w:pPr>
          </w:p>
        </w:tc>
        <w:tc>
          <w:tcPr>
            <w:tcW w:type="dxa" w:w="4824"/>
          </w:tcPr>
          <w:p>
            <w:pPr>
              <w:spacing w:after="0"/>
            </w:pPr>
          </w:p>
        </w:tc>
        <w:tc>
          <w:tcPr>
            <w:tcW w:type="dxa" w:w="1929"/>
          </w:tcPr>
          <w:p>
            <w:pPr>
              <w:spacing w:after="0"/>
            </w:pPr>
          </w:p>
        </w:tc>
      </w:tr>
    </w:tbl>
    <w:p>
      <w:pPr>
        <w:spacing w:after="40"/>
      </w:pPr>
    </w:p>
    <w:p>
      <w:pPr>
        <w:pStyle w:val="Heading1"/>
      </w:pPr>
      <w:r>
        <w:t>Approval</w:t>
      </w:r>
    </w:p>
    <w:p>
      <w:pPr>
        <w:keepNext/>
      </w:pPr>
      <w:r>
        <w:rPr>
          <w:b w:val="0"/>
          <w:sz w:val="19"/>
        </w:rPr>
        <w:t xml:space="preserve">Signatures confirm this SOP has been reviewed, is approved for use at </w:t>
      </w:r>
      <w:r>
        <w:rPr>
          <w:b w:val="0"/>
          <w:sz w:val="19"/>
          <w:highlight w:val="yellow"/>
        </w:rPr>
        <w:t>[SITE NAME]</w:t>
      </w:r>
      <w:r>
        <w:rPr>
          <w:b w:val="0"/>
          <w:sz w:val="19"/>
        </w:rPr>
        <w:t>, and takes effect on the effective date above after staff training (SOP-01).</w:t>
      </w:r>
    </w:p>
    <w:tbl>
      <w:tblPr>
        <w:tblStyle w:val="TableGrid"/>
        <w:tblW w:type="auto" w:w="0"/>
        <w:jc w:val="left"/>
        <w:tblLayout w:type="fixed"/>
        <w:tblLook w:firstColumn="1" w:firstRow="1" w:lastColumn="0" w:lastRow="0" w:noHBand="0" w:noVBand="1" w:val="04A0"/>
      </w:tblPr>
      <w:tblGrid>
        <w:gridCol w:w="2894"/>
        <w:gridCol w:w="2412"/>
        <w:gridCol w:w="2701"/>
        <w:gridCol w:w="1640"/>
      </w:tblGrid>
      <w:tr>
        <w:trPr>
          <w:tblHeader w:val="true"/>
        </w:trPr>
        <w:tc>
          <w:tcPr>
            <w:tcW w:type="dxa" w:w="2894"/>
            <w:shd w:val="clear" w:color="auto" w:fill="D9E2F3"/>
          </w:tcPr>
          <w:p>
            <w:pPr>
              <w:keepNext/>
              <w:spacing w:after="0"/>
            </w:pPr>
            <w:r>
              <w:rPr>
                <w:b/>
                <w:sz w:val="19"/>
              </w:rPr>
              <w:t>Role</w:t>
            </w:r>
          </w:p>
        </w:tc>
        <w:tc>
          <w:tcPr>
            <w:tcW w:type="dxa" w:w="2412"/>
            <w:shd w:val="clear" w:color="auto" w:fill="D9E2F3"/>
          </w:tcPr>
          <w:p>
            <w:pPr>
              <w:keepNext/>
              <w:spacing w:after="0"/>
            </w:pPr>
            <w:r>
              <w:rPr>
                <w:b/>
                <w:sz w:val="19"/>
              </w:rPr>
              <w:t>Printed Name</w:t>
            </w:r>
          </w:p>
        </w:tc>
        <w:tc>
          <w:tcPr>
            <w:tcW w:type="dxa" w:w="2701"/>
            <w:shd w:val="clear" w:color="auto" w:fill="D9E2F3"/>
          </w:tcPr>
          <w:p>
            <w:pPr>
              <w:keepNext/>
              <w:spacing w:after="0"/>
            </w:pPr>
            <w:r>
              <w:rPr>
                <w:b/>
                <w:sz w:val="19"/>
              </w:rPr>
              <w:t>Signature</w:t>
            </w:r>
          </w:p>
        </w:tc>
        <w:tc>
          <w:tcPr>
            <w:tcW w:type="dxa" w:w="1640"/>
            <w:shd w:val="clear" w:color="auto" w:fill="D9E2F3"/>
          </w:tcPr>
          <w:p>
            <w:pPr>
              <w:keepNext/>
              <w:spacing w:after="0"/>
            </w:pPr>
            <w:r>
              <w:rPr>
                <w:b/>
                <w:sz w:val="19"/>
              </w:rPr>
              <w:t>Date</w:t>
            </w:r>
          </w:p>
        </w:tc>
      </w:tr>
      <w:tr>
        <w:trPr>
          <w:cantSplit w:val="true"/>
          <w:trHeight w:val="605"/>
        </w:trPr>
        <w:tc>
          <w:tcPr>
            <w:tcW w:type="dxa" w:w="2894"/>
          </w:tcPr>
          <w:p>
            <w:pPr>
              <w:keepNext/>
              <w:spacing w:after="0"/>
            </w:pPr>
            <w:r>
              <w:rPr>
                <w:b w:val="0"/>
                <w:sz w:val="19"/>
              </w:rPr>
              <w:t>Quality Lead</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keepNext/>
              <w:spacing w:after="0"/>
            </w:pPr>
            <w:r>
              <w:rPr>
                <w:b w:val="0"/>
                <w:sz w:val="19"/>
              </w:rPr>
              <w:t>Site Director</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spacing w:after="0"/>
            </w:pPr>
            <w:r>
              <w:rPr>
                <w:b w:val="0"/>
                <w:sz w:val="19"/>
              </w:rPr>
              <w:t>Principal Investigator (Medical/Clinical Lead)</w:t>
            </w:r>
          </w:p>
        </w:tc>
        <w:tc>
          <w:tcPr>
            <w:tcW w:type="dxa" w:w="2412"/>
          </w:tcPr>
          <w:p>
            <w:pPr>
              <w:spacing w:after="0"/>
            </w:pPr>
          </w:p>
        </w:tc>
        <w:tc>
          <w:tcPr>
            <w:tcW w:type="dxa" w:w="2701"/>
          </w:tcPr>
          <w:p>
            <w:pPr>
              <w:spacing w:after="0"/>
            </w:pPr>
          </w:p>
        </w:tc>
        <w:tc>
          <w:tcPr>
            <w:tcW w:type="dxa" w:w="1640"/>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Controlled document; printed copies are uncontrolled. Template release 2.0.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SOP-08 Protocol Deviations and CAPA</w:t>
          </w:r>
        </w:p>
      </w:tc>
      <w:tc>
        <w:tcPr>
          <w:tcW w:type="dxa" w:w="2894"/>
        </w:tcPr>
        <w:p>
          <w:pPr>
            <w:jc w:val="right"/>
          </w:pPr>
          <w:r>
            <w:rPr>
              <w:b w:val="0"/>
              <w:color w:val="404040"/>
              <w:sz w:val="17"/>
            </w:rPr>
            <w:t xml:space="preserve">v1.0 | Eff. </w:t>
          </w:r>
          <w:r>
            <w:rPr>
              <w:b w:val="0"/>
              <w:color w:val="404040"/>
              <w:sz w:val="17"/>
              <w:highlight w:val="yellow"/>
            </w:rPr>
            <w:t>[EFFECTIVE DATE]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SOP-08 Protocol Deviations and CAPA</dc:title>
  <dc:subject>SOP</dc:subject>
  <dc:creator>American Institute for Medical Research (AIMR)</dc:creator>
  <cp:keywords>SOP; GCP; ICH E6(R3); clinical research site</cp:keywords>
  <dc:description>Independent Site SOP Library: Lean Edition, template release 2.0.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Lean Edition</cp:category>
</cp:coreProperties>
</file>