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SOP-06</w:t>
      </w:r>
    </w:p>
    <w:p>
      <w:pPr>
        <w:pStyle w:val="Title"/>
        <w:pBdr>
          <w:bottom w:val="single" w:sz="12" w:space="1" w:color="1F3864"/>
        </w:pBdr>
        <w:spacing w:after="120"/>
      </w:pPr>
      <w:r>
        <w:rPr>
          <w:b w:val="0"/>
          <w:color w:val="1F3864"/>
          <w:sz w:val="36"/>
        </w:rPr>
        <w:t>Investigational Product Management</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Core</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receives, stores, monitors, secures, dispenses, accounts for, returns and destroys investigational product (IP), so that IP is used only as the protocol directs, its quality is kept, and every unit can be traced from receipt to final disposition.</w:t>
      </w:r>
    </w:p>
    <w:p>
      <w:pPr>
        <w:pStyle w:val="Heading1"/>
      </w:pPr>
      <w:r>
        <w:t>2. Scope</w:t>
      </w:r>
    </w:p>
    <w:p>
      <w:pPr/>
      <w:r>
        <w:rPr>
          <w:b w:val="0"/>
        </w:rPr>
        <w:t xml:space="preserve">This SOP applies to all investigational drugs, biologics and devices (including sponsor-supplied placebo, comparator and rescue medication) held at any </w:t>
      </w:r>
      <w:r>
        <w:rPr>
          <w:b w:val="0"/>
          <w:highlight w:val="yellow"/>
        </w:rPr>
        <w:t>[SITE NAME]</w:t>
      </w:r>
      <w:r>
        <w:rPr>
          <w:b w:val="0"/>
        </w:rPr>
        <w:t xml:space="preserve"> location, to the refrigerators, freezers, rooms and temperature devices used to store IP, and to all staff who handle IP or IP records. It is the site's single temperature monitoring rule; SOP-11 applies it to specimens and kits. Randomization and blinding are in SOP-05. IP shipped to participants is in SOP-M4 (if adopted). Calibration of other equipment is in SOP-11.</w:t>
      </w:r>
    </w:p>
    <w:p>
      <w:pPr/>
      <w:r>
        <w:rPr>
          <w:b w:val="0"/>
        </w:rPr>
        <w:t>Where the protocol, pharmacy manual, sponsor or IRB requirement is stricter than this SOP, the site follows the stricter requirement. Where the sponsor requires its own accountability or temperature log, that log replaces the matching site form for that study, and the unused site form is marked "superseded by sponsor log".</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Responsible for IP accountability and control at the site. Delegates IP tasks on F-302-01. Confirms IP goes only to enrolled participants under investigator supervision. Assesses participant impact of excursions, dosing errors and compliance problems.</w:t>
            </w:r>
          </w:p>
        </w:tc>
      </w:tr>
      <w:tr>
        <w:trPr>
          <w:cantSplit w:val="true"/>
        </w:trPr>
        <w:tc>
          <w:tcPr>
            <w:tcW w:type="dxa" w:w="2701"/>
          </w:tcPr>
          <w:p>
            <w:pPr>
              <w:keepNext/>
              <w:spacing w:after="0"/>
            </w:pPr>
            <w:r>
              <w:rPr>
                <w:b w:val="0"/>
                <w:sz w:val="19"/>
              </w:rPr>
              <w:t>Sub-Investigator (Sub-I)</w:t>
            </w:r>
          </w:p>
        </w:tc>
        <w:tc>
          <w:tcPr>
            <w:tcW w:type="dxa" w:w="6946"/>
          </w:tcPr>
          <w:p>
            <w:pPr>
              <w:keepNext/>
              <w:spacing w:after="0"/>
            </w:pPr>
            <w:r>
              <w:rPr>
                <w:b w:val="0"/>
                <w:sz w:val="19"/>
              </w:rPr>
              <w:t>Prescribes or orders IP where delegated. Reviews compliance and IP-related safety issues.</w:t>
            </w:r>
          </w:p>
        </w:tc>
      </w:tr>
      <w:tr>
        <w:trPr>
          <w:cantSplit w:val="true"/>
        </w:trPr>
        <w:tc>
          <w:tcPr>
            <w:tcW w:type="dxa" w:w="2701"/>
          </w:tcPr>
          <w:p>
            <w:pPr>
              <w:keepNext/>
              <w:spacing w:after="0"/>
            </w:pPr>
            <w:r>
              <w:rPr>
                <w:b w:val="0"/>
                <w:sz w:val="19"/>
              </w:rPr>
              <w:t>Research Pharmacist or IP Manager</w:t>
            </w:r>
          </w:p>
        </w:tc>
        <w:tc>
          <w:tcPr>
            <w:tcW w:type="dxa" w:w="6946"/>
          </w:tcPr>
          <w:p>
            <w:pPr>
              <w:keepNext/>
              <w:spacing w:after="0"/>
            </w:pPr>
            <w:r>
              <w:rPr>
                <w:b w:val="0"/>
                <w:sz w:val="19"/>
              </w:rPr>
              <w:t>Receives and acknowledges shipments, stores and secures IP, reviews temperature records, manages excursions, dispenses or prepares IP, keeps F-304-01, F-304-02 and F-304-03, and manages expiry, recalls, returns and destruction. Performs unblinded tasks where the protocol requires (SOP-05).</w:t>
            </w:r>
          </w:p>
        </w:tc>
      </w:tr>
      <w:tr>
        <w:trPr>
          <w:cantSplit w:val="true"/>
        </w:trPr>
        <w:tc>
          <w:tcPr>
            <w:tcW w:type="dxa" w:w="2701"/>
          </w:tcPr>
          <w:p>
            <w:pPr>
              <w:keepNext/>
              <w:spacing w:after="0"/>
            </w:pPr>
            <w:r>
              <w:rPr>
                <w:b w:val="0"/>
                <w:sz w:val="19"/>
              </w:rPr>
              <w:t>Clinical Research Coordinator (CRC)</w:t>
            </w:r>
          </w:p>
        </w:tc>
        <w:tc>
          <w:tcPr>
            <w:tcW w:type="dxa" w:w="6946"/>
          </w:tcPr>
          <w:p>
            <w:pPr>
              <w:keepNext/>
              <w:spacing w:after="0"/>
            </w:pPr>
            <w:r>
              <w:rPr>
                <w:b w:val="0"/>
                <w:sz w:val="19"/>
              </w:rPr>
              <w:t>Performs delegated IP tasks (dispensing an IRT-assigned kit, collecting returns, compliance counts), records them on F-304-04 and in source, and reports any IP problem to the IP Manager at once.</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Provides secure storage, monitored equipment, backup power and alarm response coverage. Supports DEA registration with the PI where controlled substances are involved.</w:t>
            </w:r>
          </w:p>
        </w:tc>
      </w:tr>
      <w:tr>
        <w:trPr>
          <w:cantSplit w:val="true"/>
        </w:trPr>
        <w:tc>
          <w:tcPr>
            <w:tcW w:type="dxa" w:w="2701"/>
          </w:tcPr>
          <w:p>
            <w:pPr>
              <w:spacing w:after="0"/>
            </w:pPr>
            <w:r>
              <w:rPr>
                <w:b w:val="0"/>
                <w:sz w:val="19"/>
              </w:rPr>
              <w:t>Quality Lead</w:t>
            </w:r>
          </w:p>
        </w:tc>
        <w:tc>
          <w:tcPr>
            <w:tcW w:type="dxa" w:w="6946"/>
          </w:tcPr>
          <w:p>
            <w:pPr>
              <w:spacing w:after="0"/>
            </w:pPr>
            <w:r>
              <w:rPr>
                <w:b w:val="0"/>
                <w:sz w:val="19"/>
              </w:rPr>
              <w:t>Includes IP and temperature records in QC and the quarterly quality review (SOP-14). Opens CAPA for repeated or significant IP findings (SOP-08).</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Investigational Product (IP)</w:t>
            </w:r>
          </w:p>
        </w:tc>
        <w:tc>
          <w:tcPr>
            <w:tcW w:type="dxa" w:w="6946"/>
          </w:tcPr>
          <w:p>
            <w:pPr>
              <w:spacing w:after="0"/>
            </w:pPr>
            <w:r>
              <w:rPr>
                <w:b w:val="0"/>
                <w:sz w:val="19"/>
              </w:rPr>
              <w:t>A pharmaceutical form of an active ingredient or placebo being tested or used as a reference in a clinical trial, including a marketed product used differently from its approved form or for an unapproved use. In this SOP the term also covers investigational devices.</w:t>
            </w:r>
          </w:p>
        </w:tc>
      </w:tr>
      <w:tr>
        <w:trPr>
          <w:cantSplit w:val="true"/>
        </w:trPr>
        <w:tc>
          <w:tcPr>
            <w:tcW w:type="dxa" w:w="2701"/>
          </w:tcPr>
          <w:p>
            <w:pPr>
              <w:spacing w:after="0"/>
            </w:pPr>
            <w:r>
              <w:rPr>
                <w:b w:val="0"/>
                <w:sz w:val="19"/>
              </w:rPr>
              <w:t>Accountability</w:t>
            </w:r>
          </w:p>
        </w:tc>
        <w:tc>
          <w:tcPr>
            <w:tcW w:type="dxa" w:w="6946"/>
          </w:tcPr>
          <w:p>
            <w:pPr>
              <w:spacing w:after="0"/>
            </w:pPr>
            <w:r>
              <w:rPr>
                <w:b w:val="0"/>
                <w:sz w:val="19"/>
              </w:rPr>
              <w:t>The documented trail of every IP unit from receipt through dispensing, return and final disposition, reconciled so that quantities balance.</w:t>
            </w:r>
          </w:p>
        </w:tc>
      </w:tr>
      <w:tr>
        <w:trPr>
          <w:cantSplit w:val="true"/>
        </w:trPr>
        <w:tc>
          <w:tcPr>
            <w:tcW w:type="dxa" w:w="2701"/>
          </w:tcPr>
          <w:p>
            <w:pPr>
              <w:spacing w:after="0"/>
            </w:pPr>
            <w:r>
              <w:rPr>
                <w:b w:val="0"/>
                <w:sz w:val="19"/>
              </w:rPr>
              <w:t>Continuous monitoring</w:t>
            </w:r>
          </w:p>
        </w:tc>
        <w:tc>
          <w:tcPr>
            <w:tcW w:type="dxa" w:w="6946"/>
          </w:tcPr>
          <w:p>
            <w:pPr>
              <w:spacing w:after="0"/>
            </w:pPr>
            <w:r>
              <w:rPr>
                <w:b w:val="0"/>
                <w:sz w:val="19"/>
              </w:rPr>
              <w:t>A logger or system that records temperature at set intervals, keeps the data and alarms when limits are exceeded. A min/max thermometer is not continuous monitoring.</w:t>
            </w:r>
          </w:p>
        </w:tc>
      </w:tr>
      <w:tr>
        <w:trPr>
          <w:cantSplit w:val="true"/>
        </w:trPr>
        <w:tc>
          <w:tcPr>
            <w:tcW w:type="dxa" w:w="2701"/>
          </w:tcPr>
          <w:p>
            <w:pPr>
              <w:spacing w:after="0"/>
            </w:pPr>
            <w:r>
              <w:rPr>
                <w:b w:val="0"/>
                <w:sz w:val="19"/>
              </w:rPr>
              <w:t>Min/max thermometer</w:t>
            </w:r>
          </w:p>
        </w:tc>
        <w:tc>
          <w:tcPr>
            <w:tcW w:type="dxa" w:w="6946"/>
          </w:tcPr>
          <w:p>
            <w:pPr>
              <w:spacing w:after="0"/>
            </w:pPr>
            <w:r>
              <w:rPr>
                <w:b w:val="0"/>
                <w:sz w:val="19"/>
              </w:rPr>
              <w:t>A device that records the minimum and maximum temperatures since it was last reset.</w:t>
            </w:r>
          </w:p>
        </w:tc>
      </w:tr>
      <w:tr>
        <w:trPr>
          <w:cantSplit w:val="true"/>
        </w:trPr>
        <w:tc>
          <w:tcPr>
            <w:tcW w:type="dxa" w:w="2701"/>
          </w:tcPr>
          <w:p>
            <w:pPr>
              <w:spacing w:after="0"/>
            </w:pPr>
            <w:r>
              <w:rPr>
                <w:b w:val="0"/>
                <w:sz w:val="19"/>
              </w:rPr>
              <w:t>Temperature excursion</w:t>
            </w:r>
          </w:p>
        </w:tc>
        <w:tc>
          <w:tcPr>
            <w:tcW w:type="dxa" w:w="6946"/>
          </w:tcPr>
          <w:p>
            <w:pPr>
              <w:spacing w:after="0"/>
            </w:pPr>
            <w:r>
              <w:rPr>
                <w:b w:val="0"/>
                <w:sz w:val="19"/>
              </w:rPr>
              <w:t>Any recorded temperature outside the sponsor's storage range, including during shipment.</w:t>
            </w:r>
          </w:p>
        </w:tc>
      </w:tr>
      <w:tr>
        <w:trPr>
          <w:cantSplit w:val="true"/>
        </w:trPr>
        <w:tc>
          <w:tcPr>
            <w:tcW w:type="dxa" w:w="2701"/>
          </w:tcPr>
          <w:p>
            <w:pPr>
              <w:spacing w:after="0"/>
            </w:pPr>
            <w:r>
              <w:rPr>
                <w:b w:val="0"/>
                <w:sz w:val="19"/>
              </w:rPr>
              <w:t>Quarantine</w:t>
            </w:r>
          </w:p>
        </w:tc>
        <w:tc>
          <w:tcPr>
            <w:tcW w:type="dxa" w:w="6946"/>
          </w:tcPr>
          <w:p>
            <w:pPr>
              <w:spacing w:after="0"/>
            </w:pPr>
            <w:r>
              <w:rPr>
                <w:b w:val="0"/>
                <w:sz w:val="19"/>
              </w:rPr>
              <w:t>Physical and system status in which IP is segregated, labeled "Do Not Use" and not dispensed until the sponsor releases it in writing or directs disposition.</w:t>
            </w:r>
          </w:p>
        </w:tc>
      </w:tr>
      <w:tr>
        <w:trPr>
          <w:cantSplit w:val="true"/>
        </w:trPr>
        <w:tc>
          <w:tcPr>
            <w:tcW w:type="dxa" w:w="2701"/>
          </w:tcPr>
          <w:p>
            <w:pPr>
              <w:spacing w:after="0"/>
            </w:pPr>
            <w:r>
              <w:rPr>
                <w:b w:val="0"/>
                <w:sz w:val="19"/>
              </w:rPr>
              <w:t>Controlled substance</w:t>
            </w:r>
          </w:p>
        </w:tc>
        <w:tc>
          <w:tcPr>
            <w:tcW w:type="dxa" w:w="6946"/>
          </w:tcPr>
          <w:p>
            <w:pPr>
              <w:spacing w:after="0"/>
            </w:pPr>
            <w:r>
              <w:rPr>
                <w:b w:val="0"/>
                <w:sz w:val="19"/>
              </w:rPr>
              <w:t>A drug or other substance in Schedules I to V under 21 CFR 1308.</w:t>
            </w:r>
          </w:p>
        </w:tc>
      </w:tr>
      <w:tr>
        <w:trPr>
          <w:cantSplit w:val="true"/>
        </w:trPr>
        <w:tc>
          <w:tcPr>
            <w:tcW w:type="dxa" w:w="2701"/>
          </w:tcPr>
          <w:p>
            <w:pPr>
              <w:spacing w:after="0"/>
            </w:pPr>
            <w:r>
              <w:rPr>
                <w:b w:val="0"/>
                <w:sz w:val="19"/>
              </w:rPr>
              <w:t>Final disposition</w:t>
            </w:r>
          </w:p>
        </w:tc>
        <w:tc>
          <w:tcPr>
            <w:tcW w:type="dxa" w:w="6946"/>
          </w:tcPr>
          <w:p>
            <w:pPr>
              <w:spacing w:after="0"/>
            </w:pPr>
            <w:r>
              <w:rPr>
                <w:b w:val="0"/>
                <w:sz w:val="19"/>
              </w:rPr>
              <w:t>Return of IP to the sponsor or its depot, or destruction, as the sponsor authorizes and documents.</w:t>
            </w:r>
          </w:p>
        </w:tc>
      </w:tr>
    </w:tbl>
    <w:p>
      <w:pPr>
        <w:spacing w:after="40"/>
      </w:pPr>
    </w:p>
    <w:p>
      <w:pPr>
        <w:pStyle w:val="Heading1"/>
      </w:pPr>
      <w:r>
        <w:t>5. Procedure</w:t>
      </w:r>
    </w:p>
    <w:p>
      <w:pPr>
        <w:pStyle w:val="Heading2"/>
      </w:pPr>
      <w:r>
        <w:t>5.1 Set-up before first shipment</w:t>
      </w:r>
    </w:p>
    <w:p>
      <w:pPr>
        <w:tabs>
          <w:tab w:pos="648" w:val="left"/>
        </w:tabs>
        <w:ind w:left="648" w:hanging="648"/>
      </w:pPr>
      <w:r>
        <w:rPr>
          <w:b/>
        </w:rPr>
        <w:t>5.1.1</w:t>
        <w:tab/>
      </w:r>
      <w:r>
        <w:rPr>
          <w:b w:val="0"/>
        </w:rPr>
        <w:t>The IP Manager reads the protocol, pharmacy manual and IRT manual and records the training on F-103-01 before the site initiation visit. Only staff the PI delegates IP tasks on F-302-01 receive, dispense or reconcile IP.</w:t>
      </w:r>
    </w:p>
    <w:p>
      <w:pPr>
        <w:tabs>
          <w:tab w:pos="648" w:val="left"/>
        </w:tabs>
        <w:ind w:left="648" w:hanging="648"/>
      </w:pPr>
      <w:r>
        <w:rPr>
          <w:b/>
        </w:rPr>
        <w:t>5.1.2</w:t>
        <w:tab/>
      </w:r>
      <w:r>
        <w:rPr>
          <w:b w:val="0"/>
        </w:rPr>
        <w:t>Before activation, the IP Manager confirms and records in the pharmacy file that:</w:t>
      </w:r>
    </w:p>
    <w:p>
      <w:pPr>
        <w:pStyle w:val="ListBullet"/>
        <w:spacing w:after="40"/>
        <w:ind w:left="1008" w:hanging="259"/>
      </w:pPr>
      <w:r>
        <w:rPr>
          <w:b w:val="0"/>
        </w:rPr>
        <w:t>the storage area is locked and access is limited to delegated staff</w:t>
      </w:r>
    </w:p>
    <w:p>
      <w:pPr>
        <w:pStyle w:val="ListBullet"/>
        <w:spacing w:after="40"/>
        <w:ind w:left="1008" w:hanging="259"/>
      </w:pPr>
      <w:r>
        <w:rPr>
          <w:b w:val="0"/>
        </w:rPr>
        <w:t>each unit holds the sponsor's range and has been mapped or qualified where the sponsor requires</w:t>
      </w:r>
    </w:p>
    <w:p>
      <w:pPr>
        <w:pStyle w:val="ListBullet"/>
        <w:spacing w:after="40"/>
        <w:ind w:left="1008" w:hanging="259"/>
      </w:pPr>
      <w:r>
        <w:rPr>
          <w:b w:val="0"/>
        </w:rPr>
        <w:t>each unit and room is monitored under section 5.2, and each temperature device is on F-312-01 with a current calibration certificate</w:t>
      </w:r>
    </w:p>
    <w:p>
      <w:pPr>
        <w:pStyle w:val="ListBullet"/>
        <w:spacing w:after="40"/>
        <w:ind w:left="1008" w:hanging="259"/>
      </w:pPr>
      <w:r>
        <w:rPr>
          <w:b w:val="0"/>
        </w:rPr>
        <w:t>a backup storage plan for equipment failure or power loss is in F-705-01</w:t>
      </w:r>
    </w:p>
    <w:p>
      <w:pPr>
        <w:tabs>
          <w:tab w:pos="648" w:val="left"/>
        </w:tabs>
        <w:ind w:left="648" w:hanging="648"/>
      </w:pPr>
      <w:r>
        <w:rPr>
          <w:b/>
        </w:rPr>
        <w:t>5.1.3</w:t>
        <w:tab/>
      </w:r>
      <w:r>
        <w:rPr>
          <w:b w:val="0"/>
        </w:rPr>
        <w:t>The Regulatory Coordinator confirms each location where IP will be stored or dispensed is listed on Form FDA 1572 (drug and biologic studies) or in the sponsor's device records before IP is shipped there.</w:t>
      </w:r>
    </w:p>
    <w:p>
      <w:pPr>
        <w:pStyle w:val="Heading2"/>
      </w:pPr>
      <w:r>
        <w:t>5.2 Storage equipment and temperature monitoring</w:t>
      </w:r>
    </w:p>
    <w:p>
      <w:pPr>
        <w:tabs>
          <w:tab w:pos="648" w:val="left"/>
        </w:tabs>
        <w:ind w:left="648" w:hanging="648"/>
      </w:pPr>
      <w:r>
        <w:rPr>
          <w:b/>
        </w:rPr>
        <w:t>5.2.1</w:t>
        <w:tab/>
      </w:r>
      <w:r>
        <w:rPr>
          <w:b w:val="0"/>
        </w:rPr>
        <w:t xml:space="preserve">Each refrigerator, freezer and room used for IP, specimens or temperature-sensitive kits is monitored by </w:t>
      </w:r>
      <w:r>
        <w:rPr>
          <w:b w:val="0"/>
          <w:highlight w:val="green"/>
        </w:rPr>
        <w:t>[DEFAULT: a continuous monitoring system with alarm]</w:t>
      </w:r>
      <w:r>
        <w:rPr>
          <w:b w:val="0"/>
        </w:rPr>
        <w:t>. A calibrated min/max thermometer may be used only at a location recorded in the Site decision below.</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for each storage location, whether it has continuous monitoring with alarm or a min/max thermometer; who receives alarms after hours; the maximum response time to an alarm: </w:t>
            </w:r>
            <w:r>
              <w:rPr>
                <w:b w:val="0"/>
                <w:sz w:val="20"/>
                <w:highlight w:val="yellow"/>
              </w:rPr>
              <w:t>[ALARM RESPONSE TIME]</w:t>
            </w:r>
            <w:r>
              <w:rPr>
                <w:b w:val="0"/>
                <w:sz w:val="20"/>
              </w:rPr>
              <w:t>; and, for any min/max location, the closed-day plan in 5.2.3.</w:t>
            </w:r>
          </w:p>
        </w:tc>
      </w:tr>
    </w:tbl>
    <w:p>
      <w:pPr>
        <w:spacing w:after="0"/>
      </w:pPr>
    </w:p>
    <w:p>
      <w:pPr>
        <w:tabs>
          <w:tab w:pos="648" w:val="left"/>
        </w:tabs>
        <w:ind w:left="648" w:hanging="648"/>
      </w:pPr>
      <w:r>
        <w:rPr>
          <w:b/>
        </w:rPr>
        <w:t>5.2.2</w:t>
        <w:tab/>
      </w:r>
      <w:r>
        <w:rPr>
          <w:b w:val="0"/>
        </w:rPr>
        <w:t>The IP Manager or delegate reviews the temperature record for every storage location each business day and records the review on F-304-02 (or signs the system's daily report). For a min/max location the reviewer records current, minimum and maximum readings and resets the device. The first review after any closure covers the whole period since the last review.</w:t>
      </w:r>
    </w:p>
    <w:p>
      <w:pPr>
        <w:tabs>
          <w:tab w:pos="648" w:val="left"/>
        </w:tabs>
        <w:ind w:left="648" w:hanging="648"/>
      </w:pPr>
      <w:r>
        <w:rPr>
          <w:b/>
        </w:rPr>
        <w:t>5.2.3</w:t>
        <w:tab/>
      </w:r>
      <w:r>
        <w:rPr>
          <w:b w:val="0"/>
        </w:rPr>
        <w:t>A min/max location is read on reopening. Any minimum or maximum outside range is treated as an excursion under section 5.4 for the whole period since the last in-range reading.</w:t>
      </w:r>
    </w:p>
    <w:p>
      <w:pPr>
        <w:tabs>
          <w:tab w:pos="648" w:val="left"/>
        </w:tabs>
        <w:ind w:left="648" w:hanging="648"/>
      </w:pPr>
      <w:r>
        <w:rPr>
          <w:b/>
        </w:rPr>
        <w:t>5.2.4</w:t>
        <w:tab/>
      </w:r>
      <w:r>
        <w:rPr>
          <w:b w:val="0"/>
        </w:rPr>
        <w:t>A gap in the record is treated as a possible excursion until the reviewer shows the product stayed in range.</w:t>
      </w:r>
    </w:p>
    <w:p>
      <w:pPr>
        <w:tabs>
          <w:tab w:pos="648" w:val="left"/>
        </w:tabs>
        <w:ind w:left="648" w:hanging="648"/>
      </w:pPr>
      <w:r>
        <w:rPr>
          <w:b/>
        </w:rPr>
        <w:t>5.2.5</w:t>
        <w:tab/>
      </w:r>
      <w:r>
        <w:rPr>
          <w:b w:val="0"/>
        </w:rPr>
        <w:t>Probes, loggers and thermometers are calibrated under SOP-11. The IP Manager replaces a device before calibration expires; expired calibration is assessed as a possible excursion since expiry. Storage unit maintenance is recorded on F-312-01 (SOP-11), and electronic monitoring systems are listed on F-401-01 (SOP-12).</w:t>
      </w:r>
    </w:p>
    <w:p>
      <w:pPr>
        <w:tabs>
          <w:tab w:pos="648" w:val="left"/>
        </w:tabs>
        <w:ind w:left="648" w:hanging="648"/>
      </w:pPr>
      <w:r>
        <w:rPr>
          <w:b/>
        </w:rPr>
        <w:t>5.2.6</w:t>
        <w:tab/>
      </w:r>
      <w:r>
        <w:rPr>
          <w:b w:val="0"/>
        </w:rPr>
        <w:t>Food, specimens and non-study items are not stored in IP refrigerators or freezers.</w:t>
      </w:r>
    </w:p>
    <w:p>
      <w:pPr>
        <w:pStyle w:val="Heading2"/>
      </w:pPr>
      <w:r>
        <w:t>5.3 Receipt and acknowledgment</w:t>
      </w:r>
    </w:p>
    <w:p>
      <w:pPr>
        <w:tabs>
          <w:tab w:pos="648" w:val="left"/>
        </w:tabs>
        <w:ind w:left="648" w:hanging="648"/>
      </w:pPr>
      <w:r>
        <w:rPr>
          <w:b/>
        </w:rPr>
        <w:t>5.3.1</w:t>
        <w:tab/>
      </w:r>
      <w:r>
        <w:rPr>
          <w:b w:val="0"/>
        </w:rPr>
        <w:t>The IP Manager arranges with the sponsor or depot that couriers deliver only to named delegated staff during business hours. Staff not delegated for IP do not open shippers; they place the shipper in the designated receiving area and notify the IP Manager at once.</w:t>
      </w:r>
    </w:p>
    <w:p>
      <w:pPr>
        <w:tabs>
          <w:tab w:pos="648" w:val="left"/>
        </w:tabs>
        <w:ind w:left="648" w:hanging="648"/>
      </w:pPr>
      <w:r>
        <w:rPr>
          <w:b/>
        </w:rPr>
        <w:t>5.3.2</w:t>
        <w:tab/>
      </w:r>
      <w:r>
        <w:rPr>
          <w:b w:val="0"/>
        </w:rPr>
        <w:t>If a shipment arrives when no delegated person is on site, the first delegated person who finds it records the time found on the packing list, checks the shipper temperature indicator, quarantines the shipment in its labeled storage conditions and contacts the sponsor or depot the same business day.</w:t>
      </w:r>
    </w:p>
    <w:p>
      <w:pPr>
        <w:tabs>
          <w:tab w:pos="648" w:val="left"/>
        </w:tabs>
        <w:ind w:left="648" w:hanging="648"/>
      </w:pPr>
      <w:r>
        <w:rPr>
          <w:b/>
        </w:rPr>
        <w:t>5.3.3</w:t>
        <w:tab/>
      </w:r>
      <w:r>
        <w:rPr>
          <w:b w:val="0"/>
        </w:rPr>
        <w:t>Before moving IP to storage, the receiver checks that the shipper is intact and correctly addressed, the shipper temperature monitor shows no alarm, contents match the packing list (kit or lot numbers, quantities, expiry), and labels, seals and units are undamaged.</w:t>
      </w:r>
    </w:p>
    <w:p>
      <w:pPr>
        <w:tabs>
          <w:tab w:pos="648" w:val="left"/>
        </w:tabs>
        <w:ind w:left="648" w:hanging="648"/>
      </w:pPr>
      <w:r>
        <w:rPr>
          <w:b/>
        </w:rPr>
        <w:t>5.3.4</w:t>
        <w:tab/>
      </w:r>
      <w:r>
        <w:rPr>
          <w:b w:val="0"/>
        </w:rPr>
        <w:t xml:space="preserve">If everything matches, the receiver stores the IP immediately and acknowledges receipt in IRT </w:t>
      </w:r>
      <w:r>
        <w:rPr>
          <w:b w:val="0"/>
          <w:highlight w:val="green"/>
        </w:rPr>
        <w:t>[DEFAULT: the same business day]</w:t>
      </w:r>
      <w:r>
        <w:rPr>
          <w:b w:val="0"/>
        </w:rPr>
        <w:t xml:space="preserve"> with the actual receipt date and time. If there is an alarm, damage or mismatch, the receiver quarantines the shipment in the correct conditions, does not release it in IRT (or marks the units quarantined, per the IRT manual), and contacts the sponsor the same business day. Excursions follow section 5.4.</w:t>
      </w:r>
    </w:p>
    <w:p>
      <w:pPr>
        <w:tabs>
          <w:tab w:pos="648" w:val="left"/>
        </w:tabs>
        <w:ind w:left="648" w:hanging="648"/>
      </w:pPr>
      <w:r>
        <w:rPr>
          <w:b/>
        </w:rPr>
        <w:t>5.3.5</w:t>
        <w:tab/>
      </w:r>
      <w:r>
        <w:rPr>
          <w:b w:val="0"/>
        </w:rPr>
        <w:t>The receiver signs and dates the packing list, records receipt on F-304-01, and files the packing list, shipper reading and IRT confirmation.</w:t>
      </w:r>
    </w:p>
    <w:p>
      <w:pPr>
        <w:pStyle w:val="Heading2"/>
      </w:pPr>
      <w:r>
        <w:t>5.4 Temperature excursions</w:t>
      </w:r>
    </w:p>
    <w:p>
      <w:pPr>
        <w:tabs>
          <w:tab w:pos="648" w:val="left"/>
        </w:tabs>
        <w:ind w:left="648" w:hanging="648"/>
      </w:pPr>
      <w:r>
        <w:rPr>
          <w:b/>
        </w:rPr>
        <w:t>5.4.1</w:t>
        <w:tab/>
      </w:r>
      <w:r>
        <w:rPr>
          <w:b w:val="0"/>
        </w:rPr>
        <w:t>Anyone who sees an alarm or out-of-range reading notifies the IP Manager at once. The IP Manager, or the after-hours alarm responder, moves IP to a working unit if the unit is failing.</w:t>
      </w:r>
    </w:p>
    <w:p>
      <w:pPr>
        <w:tabs>
          <w:tab w:pos="648" w:val="left"/>
        </w:tabs>
        <w:ind w:left="648" w:hanging="648"/>
      </w:pPr>
      <w:r>
        <w:rPr>
          <w:b/>
        </w:rPr>
        <w:t>5.4.2</w:t>
        <w:tab/>
      </w:r>
      <w:r>
        <w:rPr>
          <w:b w:val="0"/>
        </w:rPr>
        <w:t>The IP Manager quarantines all affected IP ("Quarantine, Do Not Dispense"), keeps it under labeled storage conditions and marks it quarantined in IRT where possible.</w:t>
      </w:r>
    </w:p>
    <w:p>
      <w:pPr>
        <w:tabs>
          <w:tab w:pos="648" w:val="left"/>
        </w:tabs>
        <w:ind w:left="648" w:hanging="648"/>
      </w:pPr>
      <w:r>
        <w:rPr>
          <w:b/>
        </w:rPr>
        <w:t>5.4.3</w:t>
        <w:tab/>
      </w:r>
      <w:r>
        <w:rPr>
          <w:b w:val="0"/>
        </w:rPr>
        <w:t>The IP Manager completes F-304-03, including whether any affected IP was dispensed.</w:t>
      </w:r>
    </w:p>
    <w:p>
      <w:pPr>
        <w:tabs>
          <w:tab w:pos="648" w:val="left"/>
        </w:tabs>
        <w:ind w:left="648" w:hanging="648"/>
      </w:pPr>
      <w:r>
        <w:rPr>
          <w:b/>
        </w:rPr>
        <w:t>5.4.4</w:t>
        <w:tab/>
      </w:r>
      <w:r>
        <w:rPr>
          <w:b w:val="0"/>
        </w:rPr>
        <w:t xml:space="preserve">The IP Manager reports the excursion with the temperature data to the sponsor by the sponsor's process within the sponsor's time, or </w:t>
      </w:r>
      <w:r>
        <w:rPr>
          <w:b w:val="0"/>
          <w:highlight w:val="green"/>
        </w:rPr>
        <w:t>[DEFAULT: within 1 business day of discovery]</w:t>
      </w:r>
      <w:r>
        <w:rPr>
          <w:b w:val="0"/>
        </w:rPr>
        <w:t xml:space="preserve"> if none is set.</w:t>
      </w:r>
    </w:p>
    <w:p>
      <w:pPr>
        <w:tabs>
          <w:tab w:pos="648" w:val="left"/>
        </w:tabs>
        <w:ind w:left="648" w:hanging="648"/>
      </w:pPr>
      <w:r>
        <w:rPr>
          <w:b/>
        </w:rPr>
        <w:t>5.4.5</w:t>
        <w:tab/>
      </w:r>
      <w:r>
        <w:rPr>
          <w:b w:val="0"/>
        </w:rPr>
        <w:t>Affected IP is not dispensed until the sponsor releases it in writing. The IP Manager files the release or disposition instruction with F-304-03 and updates IRT and F-304-01. Rejected IP stays quarantined until returned or destroyed (section 5.12).</w:t>
      </w:r>
    </w:p>
    <w:p>
      <w:pPr>
        <w:tabs>
          <w:tab w:pos="648" w:val="left"/>
        </w:tabs>
        <w:ind w:left="648" w:hanging="648"/>
      </w:pPr>
      <w:r>
        <w:rPr>
          <w:b/>
        </w:rPr>
        <w:t>5.4.6</w:t>
        <w:tab/>
      </w:r>
      <w:r>
        <w:rPr>
          <w:b w:val="0"/>
        </w:rPr>
        <w:t>If affected IP was dispensed or administered before the excursion was found, the IP Manager tells the PI the same day. The PI assesses participant safety, contacts participants where needed and records the assessment in source. Any deviation follows SOP-08.</w:t>
      </w:r>
    </w:p>
    <w:p>
      <w:pPr>
        <w:tabs>
          <w:tab w:pos="648" w:val="left"/>
        </w:tabs>
        <w:ind w:left="648" w:hanging="648"/>
      </w:pPr>
      <w:r>
        <w:rPr>
          <w:b/>
        </w:rPr>
        <w:t>5.4.7</w:t>
        <w:tab/>
      </w:r>
      <w:r>
        <w:rPr>
          <w:b w:val="0"/>
        </w:rPr>
        <w:t>A transit excursion (depot shipment, transfer between locations under 5.11.3, or direct-to-participant shipment under SOP-M4, if adopted) is reported under 5.4.1 and handled under 5.4.2 to 5.4.6.</w:t>
      </w:r>
    </w:p>
    <w:p>
      <w:pPr>
        <w:tabs>
          <w:tab w:pos="648" w:val="left"/>
        </w:tabs>
        <w:ind w:left="648" w:hanging="648"/>
      </w:pPr>
      <w:r>
        <w:rPr>
          <w:b/>
        </w:rPr>
        <w:t>5.4.8</w:t>
        <w:tab/>
      </w:r>
      <w:r>
        <w:rPr>
          <w:b w:val="0"/>
        </w:rPr>
        <w:t>The IP Manager records the cause and fix on F-304-03. Repeat excursions, or dosing with rejected IP, go to the Quality Lead for CAPA (SOP-08).</w:t>
      </w:r>
    </w:p>
    <w:p>
      <w:pPr>
        <w:pStyle w:val="Heading2"/>
      </w:pPr>
      <w:r>
        <w:t>5.5 Storage, access and separation</w:t>
      </w:r>
    </w:p>
    <w:p>
      <w:pPr>
        <w:tabs>
          <w:tab w:pos="648" w:val="left"/>
        </w:tabs>
        <w:ind w:left="648" w:hanging="648"/>
      </w:pPr>
      <w:r>
        <w:rPr>
          <w:b/>
        </w:rPr>
        <w:t>5.5.1</w:t>
        <w:tab/>
      </w:r>
      <w:r>
        <w:rPr>
          <w:b w:val="0"/>
        </w:rPr>
        <w:t>IP is stored locked, under the labeled conditions, separate from commercial stock (including the site's stock of the same marketed product) and from other studies' IP, each study in its own labeled space.</w:t>
      </w:r>
    </w:p>
    <w:p>
      <w:pPr>
        <w:tabs>
          <w:tab w:pos="648" w:val="left"/>
        </w:tabs>
        <w:ind w:left="648" w:hanging="648"/>
      </w:pPr>
      <w:r>
        <w:rPr>
          <w:b/>
        </w:rPr>
        <w:t>5.5.2</w:t>
        <w:tab/>
      </w:r>
      <w:r>
        <w:rPr>
          <w:b w:val="0"/>
        </w:rPr>
        <w:t>Quarantined, expired, returned and used IP is kept in a separate labeled area.</w:t>
      </w:r>
    </w:p>
    <w:p>
      <w:pPr>
        <w:tabs>
          <w:tab w:pos="648" w:val="left"/>
        </w:tabs>
        <w:ind w:left="648" w:hanging="648"/>
      </w:pPr>
      <w:r>
        <w:rPr>
          <w:b/>
        </w:rPr>
        <w:t>5.5.3</w:t>
        <w:tab/>
      </w:r>
      <w:r>
        <w:rPr>
          <w:b w:val="0"/>
        </w:rPr>
        <w:t>The Site Director keeps a list of key or badge holders for each IP storage area and updates it when staff join or leave.</w:t>
      </w:r>
    </w:p>
    <w:p>
      <w:pPr>
        <w:pStyle w:val="Heading2"/>
      </w:pPr>
      <w:r>
        <w:t>5.6 Dispensing and administration</w:t>
      </w:r>
    </w:p>
    <w:p>
      <w:pPr>
        <w:tabs>
          <w:tab w:pos="648" w:val="left"/>
        </w:tabs>
        <w:ind w:left="648" w:hanging="648"/>
      </w:pPr>
      <w:r>
        <w:rPr>
          <w:b/>
        </w:rPr>
        <w:t>5.6.1</w:t>
        <w:tab/>
      </w:r>
      <w:r>
        <w:rPr>
          <w:b w:val="0"/>
        </w:rPr>
        <w:t>IP is dispensed only to participants who have consented, been confirmed eligible by an investigator (SOP-05) and been assigned the IP in IRT where IRT is used. IP is administered only under the supervision of the PI or a Sub-I and is never supplied to anyone not authorized to receive it (21 CFR 312.61; 21 CFR 812.110(c)).</w:t>
      </w:r>
    </w:p>
    <w:p>
      <w:pPr>
        <w:tabs>
          <w:tab w:pos="648" w:val="left"/>
        </w:tabs>
        <w:ind w:left="648" w:hanging="648"/>
      </w:pPr>
      <w:r>
        <w:rPr>
          <w:b/>
        </w:rPr>
        <w:t>5.6.2</w:t>
        <w:tab/>
      </w:r>
      <w:r>
        <w:rPr>
          <w:b w:val="0"/>
        </w:rPr>
        <w:t>Staff dispense the exact kit IRT assigns, after checking participant ID, kit number, expiry and packaging against the IRT confirmation.</w:t>
      </w:r>
    </w:p>
    <w:p>
      <w:pPr>
        <w:tabs>
          <w:tab w:pos="648" w:val="left"/>
        </w:tabs>
        <w:ind w:left="648" w:hanging="648"/>
      </w:pPr>
      <w:r>
        <w:rPr>
          <w:b/>
        </w:rPr>
        <w:t>5.6.3</w:t>
        <w:tab/>
      </w:r>
      <w:r>
        <w:rPr>
          <w:b w:val="0"/>
        </w:rPr>
        <w:t>Only staff delegated and trained for preparation (for example reconstitution or infusion) prepare IP, following the pharmacy manual, and record it in source.</w:t>
      </w:r>
    </w:p>
    <w:p>
      <w:pPr>
        <w:tabs>
          <w:tab w:pos="648" w:val="left"/>
        </w:tabs>
        <w:ind w:left="648" w:hanging="648"/>
      </w:pPr>
      <w:r>
        <w:rPr>
          <w:b/>
        </w:rPr>
        <w:t>5.6.4</w:t>
        <w:tab/>
      </w:r>
      <w:r>
        <w:rPr>
          <w:b w:val="0"/>
        </w:rPr>
        <w:t>The staff member records the dispensing on F-304-04 (visit, date, kit or unit ID, IRT confirmation number, quantity, initials). For IP given at the site, source records dose, route, time and who administered it.</w:t>
      </w:r>
    </w:p>
    <w:p>
      <w:pPr>
        <w:tabs>
          <w:tab w:pos="648" w:val="left"/>
        </w:tabs>
        <w:ind w:left="648" w:hanging="648"/>
      </w:pPr>
      <w:r>
        <w:rPr>
          <w:b/>
        </w:rPr>
        <w:t>5.6.5</w:t>
        <w:tab/>
      </w:r>
      <w:r>
        <w:rPr>
          <w:b w:val="0"/>
        </w:rPr>
        <w:t>The staff member explains storage, dosing and return to the participant and records this in source.</w:t>
      </w:r>
    </w:p>
    <w:p>
      <w:pPr>
        <w:tabs>
          <w:tab w:pos="648" w:val="left"/>
        </w:tabs>
        <w:ind w:left="648" w:hanging="648"/>
      </w:pPr>
      <w:r>
        <w:rPr>
          <w:b/>
        </w:rPr>
        <w:t>5.6.6</w:t>
        <w:tab/>
      </w:r>
      <w:r>
        <w:rPr>
          <w:b w:val="0"/>
        </w:rPr>
        <w:t>A wrong kit or dosing error is reported to the IP Manager and PI at once. The PI assesses safety, the IP Manager follows the IRT and sponsor misallocation process, and a deviation is recorded (SOP-08).</w:t>
      </w:r>
    </w:p>
    <w:p>
      <w:pPr>
        <w:pStyle w:val="Heading2"/>
      </w:pPr>
      <w:r>
        <w:t>5.7 Participant returns and compliance</w:t>
      </w:r>
    </w:p>
    <w:p>
      <w:pPr>
        <w:tabs>
          <w:tab w:pos="648" w:val="left"/>
        </w:tabs>
        <w:ind w:left="648" w:hanging="648"/>
      </w:pPr>
      <w:r>
        <w:rPr>
          <w:b/>
        </w:rPr>
        <w:t>5.7.1</w:t>
        <w:tab/>
      </w:r>
      <w:r>
        <w:rPr>
          <w:b w:val="0"/>
        </w:rPr>
        <w:t>At each return, the delegated staff member counts returned units, in the participant's presence where practical, and records on F-304-04 the quantity returned against the quantity dispensed for that kit and the compliance percentage, using the protocol or pharmacy manual method. Missing, lost or damaged doses and the reason given are recorded in source. Unreturned IP is recorded on F-304-04 and reported as the sponsor requires.</w:t>
      </w:r>
    </w:p>
    <w:p>
      <w:pPr>
        <w:tabs>
          <w:tab w:pos="648" w:val="left"/>
        </w:tabs>
        <w:ind w:left="648" w:hanging="648"/>
      </w:pPr>
      <w:r>
        <w:rPr>
          <w:b/>
        </w:rPr>
        <w:t>5.7.2</w:t>
        <w:tab/>
      </w:r>
      <w:r>
        <w:rPr>
          <w:b w:val="0"/>
        </w:rPr>
        <w:t>An investigator reviews compliance outside the protocol threshold, records the assessment in source and decides on action.</w:t>
      </w:r>
    </w:p>
    <w:p>
      <w:pPr>
        <w:tabs>
          <w:tab w:pos="648" w:val="left"/>
        </w:tabs>
        <w:ind w:left="648" w:hanging="648"/>
      </w:pPr>
      <w:r>
        <w:rPr>
          <w:b/>
        </w:rPr>
        <w:t>5.7.3</w:t>
        <w:tab/>
      </w:r>
      <w:r>
        <w:rPr>
          <w:b w:val="0"/>
        </w:rPr>
        <w:t>Returned IP is stored in the returned-IP area, labeled by participant and visit, and is never re-dispensed unless the pharmacy manual allows it.</w:t>
      </w:r>
    </w:p>
    <w:p>
      <w:pPr>
        <w:pStyle w:val="Heading2"/>
      </w:pPr>
      <w:r>
        <w:t>5.8 Inventory ledger and reconciliation</w:t>
      </w:r>
    </w:p>
    <w:p>
      <w:pPr>
        <w:tabs>
          <w:tab w:pos="648" w:val="left"/>
        </w:tabs>
        <w:ind w:left="648" w:hanging="648"/>
      </w:pPr>
      <w:r>
        <w:rPr>
          <w:b/>
        </w:rPr>
        <w:t>5.8.1</w:t>
        <w:tab/>
      </w:r>
      <w:r>
        <w:rPr>
          <w:b w:val="0"/>
        </w:rPr>
        <w:t>The IP Manager keeps F-304-01 as the site inventory ledger for each study: receipts, transfers, quarantine, returns to sponsor, destruction and the running balance of site stock. Units dispensed on F-304-04 are deducted from the balance by kit number.</w:t>
      </w:r>
    </w:p>
    <w:p>
      <w:pPr>
        <w:tabs>
          <w:tab w:pos="648" w:val="left"/>
        </w:tabs>
        <w:ind w:left="648" w:hanging="648"/>
      </w:pPr>
      <w:r>
        <w:rPr>
          <w:b/>
        </w:rPr>
        <w:t>5.8.2</w:t>
        <w:tab/>
      </w:r>
      <w:r>
        <w:rPr>
          <w:b w:val="0"/>
        </w:rPr>
        <w:t>The IP Manager reconciles physical stock against F-304-01, F-304-04 and IRT before each monitoring visit and before any return or destruction, checks expiry dates at the same time, and records the reconciliation on F-304-01.</w:t>
      </w:r>
    </w:p>
    <w:p>
      <w:pPr>
        <w:tabs>
          <w:tab w:pos="648" w:val="left"/>
        </w:tabs>
        <w:ind w:left="648" w:hanging="648"/>
      </w:pPr>
      <w:r>
        <w:rPr>
          <w:b/>
        </w:rPr>
        <w:t>5.8.3</w:t>
        <w:tab/>
      </w:r>
      <w:r>
        <w:rPr>
          <w:b w:val="0"/>
        </w:rPr>
        <w:t>A discrepancy not resolved from the records is reported to the PI and the sponsor and recorded on F-304-01 with the explanation. Loss of a controlled substance follows 5.9.6.</w:t>
      </w:r>
    </w:p>
    <w:p>
      <w:pPr>
        <w:tabs>
          <w:tab w:pos="648" w:val="left"/>
        </w:tabs>
        <w:ind w:left="648" w:hanging="648"/>
      </w:pPr>
      <w:r>
        <w:rPr>
          <w:b/>
        </w:rPr>
        <w:t>5.8.4</w:t>
        <w:tab/>
      </w:r>
      <w:r>
        <w:rPr>
          <w:b w:val="0"/>
        </w:rPr>
        <w:t>IP records and IRT reports are available to the monitor (SOP-13). Corrections follow SOP-07.</w:t>
      </w:r>
    </w:p>
    <w:p>
      <w:pPr>
        <w:pStyle w:val="Heading2"/>
      </w:pPr>
      <w:r>
        <w:t>5.9 Controlled substances</w:t>
      </w:r>
    </w:p>
    <w:p>
      <w:pPr>
        <w:tabs>
          <w:tab w:pos="648" w:val="left"/>
        </w:tabs>
        <w:ind w:left="648" w:hanging="648"/>
      </w:pPr>
      <w:r>
        <w:rPr>
          <w:b/>
        </w:rPr>
        <w:t>5.9.1</w:t>
        <w:tab/>
      </w:r>
      <w:r>
        <w:rPr>
          <w:b w:val="0"/>
        </w:rPr>
        <w:t>Before receiving controlled-substance IP, the PI confirms the registrations for each storage address (registration is by location, 21 CFR 1301.12):</w:t>
      </w:r>
    </w:p>
    <w:p>
      <w:pPr>
        <w:pStyle w:val="ListBullet"/>
        <w:spacing w:after="40"/>
        <w:ind w:left="1008" w:hanging="259"/>
      </w:pPr>
      <w:r>
        <w:rPr>
          <w:b w:val="0"/>
        </w:rPr>
        <w:t>Schedule I: a separate DEA Schedule I researcher registration with the protocol DEA requires (21 CFR 1301.13(e)(1)(vi); 1301.18)</w:t>
      </w:r>
    </w:p>
    <w:p>
      <w:pPr>
        <w:pStyle w:val="ListBullet"/>
        <w:spacing w:after="40"/>
        <w:ind w:left="1008" w:hanging="259"/>
      </w:pPr>
      <w:r>
        <w:rPr>
          <w:b w:val="0"/>
        </w:rPr>
        <w:t>Schedules II to V: the PI's practitioner registration for the schedules involved (21 CFR 1301.13(e)(1)(iv)); a mid-level practitioner may do research under their registration only as far as state law expressly allows</w:t>
      </w:r>
    </w:p>
    <w:p>
      <w:pPr>
        <w:pStyle w:val="ListBullet"/>
        <w:spacing w:after="40"/>
        <w:ind w:left="1008" w:hanging="259"/>
      </w:pPr>
      <w:r>
        <w:rPr>
          <w:b w:val="0"/>
        </w:rPr>
        <w:t xml:space="preserve">any state controlled-substance registration </w:t>
      </w:r>
      <w:r>
        <w:rPr>
          <w:b w:val="0"/>
          <w:highlight w:val="yellow"/>
        </w:rPr>
        <w:t>[STATE]</w:t>
      </w:r>
      <w:r>
        <w:rPr>
          <w:b w:val="0"/>
        </w:rPr>
        <w:t xml:space="preserve"> requires (Appendix A)</w:t>
      </w:r>
    </w:p>
    <w:p>
      <w:pPr>
        <w:tabs>
          <w:tab w:pos="648" w:val="left"/>
        </w:tabs>
        <w:ind w:left="648" w:hanging="648"/>
      </w:pPr>
      <w:r>
        <w:rPr>
          <w:b/>
        </w:rPr>
        <w:t>5.9.2</w:t>
        <w:tab/>
      </w:r>
      <w:r>
        <w:rPr>
          <w:b w:val="0"/>
        </w:rPr>
        <w:t>Controlled-substance IP is stored in a securely locked, substantially constructed cabinet or safe (21 CFR 1301.75; 21 CFR 312.69), separate from other IP, with access limited to the PI and named staff.</w:t>
      </w:r>
    </w:p>
    <w:p>
      <w:pPr>
        <w:tabs>
          <w:tab w:pos="648" w:val="left"/>
        </w:tabs>
        <w:ind w:left="648" w:hanging="648"/>
      </w:pPr>
      <w:r>
        <w:rPr>
          <w:b/>
        </w:rPr>
        <w:t>5.9.3</w:t>
        <w:tab/>
      </w:r>
      <w:r>
        <w:rPr>
          <w:b w:val="0"/>
        </w:rPr>
        <w:t>The IP Manager keeps the records 21 CFR 1304 requires in addition to F-304-01, including receipts, dispensing and initial and biennial inventories. Schedule I and II records are kept separate from all others, and Schedule II receipts use DEA Form 222 or its electronic equivalent. DEA records are kept at least 2 years, or longer if the study requires (SOP-12).</w:t>
      </w:r>
    </w:p>
    <w:p>
      <w:pPr>
        <w:tabs>
          <w:tab w:pos="648" w:val="left"/>
        </w:tabs>
        <w:ind w:left="648" w:hanging="648"/>
      </w:pPr>
      <w:r>
        <w:rPr>
          <w:b/>
        </w:rPr>
        <w:t>5.9.4</w:t>
        <w:tab/>
      </w:r>
      <w:r>
        <w:rPr>
          <w:b w:val="0"/>
        </w:rPr>
        <w:t xml:space="preserve">Two site staff members count controlled-substance IP at receipt, at each reconciliation and before return or destruction, and both sign the count. Where only one staff member is available, that person counts and signs, and the PI or another delegated person physically re-counts the stock and signs within </w:t>
      </w:r>
      <w:r>
        <w:rPr>
          <w:b w:val="0"/>
          <w:highlight w:val="green"/>
        </w:rPr>
        <w:t>[DEFAULT: 5 business days]</w:t>
      </w:r>
      <w:r>
        <w:rPr>
          <w:b w:val="0"/>
        </w:rPr>
        <w:t>. Where the counter is the only person with access, the counter re-counts at the next on-site visit of the monitor or the independent reviewer named in SOP-02, who observes, and the record names the observer.</w:t>
      </w:r>
    </w:p>
    <w:p>
      <w:pPr>
        <w:tabs>
          <w:tab w:pos="648" w:val="left"/>
        </w:tabs>
        <w:ind w:left="648" w:hanging="648"/>
      </w:pPr>
      <w:r>
        <w:rPr>
          <w:b/>
        </w:rPr>
        <w:t>5.9.5</w:t>
        <w:tab/>
      </w:r>
      <w:r>
        <w:rPr>
          <w:b w:val="0"/>
        </w:rPr>
        <w:t>In a blinded study where the count could reveal assignment, the second counter is another unblinded staff member for that study. If none is available, the count is done only on sealed, identical containers with a blinded staff member signing as witness, or the unblinded monitor observes the count and the record names the monitor. A blinded staff member never counts unblinded records.</w:t>
      </w:r>
    </w:p>
    <w:p>
      <w:pPr>
        <w:tabs>
          <w:tab w:pos="648" w:val="left"/>
        </w:tabs>
        <w:ind w:left="648" w:hanging="648"/>
      </w:pPr>
      <w:r>
        <w:rPr>
          <w:b/>
        </w:rPr>
        <w:t>5.9.6</w:t>
        <w:tab/>
      </w:r>
      <w:r>
        <w:rPr>
          <w:b w:val="0"/>
        </w:rPr>
        <w:t xml:space="preserve">On discovering theft or significant loss, the IP Manager tells the PI and Site Director at once. The PI or delegate notifies the DEA Field Division Office in writing within one business day, files DEA Form 106 within 45 days (21 CFR 1301.76(b)), and notifies the sponsor and any state authority </w:t>
      </w:r>
      <w:r>
        <w:rPr>
          <w:b w:val="0"/>
          <w:highlight w:val="yellow"/>
        </w:rPr>
        <w:t>[STATE]</w:t>
      </w:r>
      <w:r>
        <w:rPr>
          <w:b w:val="0"/>
        </w:rPr>
        <w:t xml:space="preserve"> requires.</w:t>
      </w:r>
    </w:p>
    <w:p>
      <w:pPr>
        <w:tabs>
          <w:tab w:pos="648" w:val="left"/>
        </w:tabs>
        <w:ind w:left="648" w:hanging="648"/>
      </w:pPr>
      <w:r>
        <w:rPr>
          <w:b/>
        </w:rPr>
        <w:t>5.9.7</w:t>
        <w:tab/>
      </w:r>
      <w:r>
        <w:rPr>
          <w:b w:val="0"/>
        </w:rPr>
        <w:t>Return or destruction follows sponsor instructions and 21 CFR 1317, for example transfer to a DEA-registered reverse distributor. The site does not destroy controlled substances on site unless DEA rules and the sponsor allow it.</w:t>
      </w:r>
    </w:p>
    <w:p>
      <w:pPr>
        <w:pStyle w:val="Heading2"/>
      </w:pPr>
      <w:r>
        <w:t>5.10 Investigational devices</w:t>
      </w:r>
    </w:p>
    <w:p>
      <w:pPr>
        <w:tabs>
          <w:tab w:pos="648" w:val="left"/>
        </w:tabs>
        <w:ind w:left="648" w:hanging="648"/>
      </w:pPr>
      <w:r>
        <w:rPr>
          <w:b/>
        </w:rPr>
        <w:t>5.10.1</w:t>
        <w:tab/>
      </w:r>
      <w:r>
        <w:rPr>
          <w:b w:val="0"/>
        </w:rPr>
        <w:t>Device records show type and quantity, receipt dates, batch, serial or code numbers, the names of everyone who received, used or disposed of each device, and why and how many units were returned, repaired or disposed of (21 CFR 812.140(a)(2)).</w:t>
      </w:r>
    </w:p>
    <w:p>
      <w:pPr>
        <w:tabs>
          <w:tab w:pos="648" w:val="left"/>
        </w:tabs>
        <w:ind w:left="648" w:hanging="648"/>
      </w:pPr>
      <w:r>
        <w:rPr>
          <w:b/>
        </w:rPr>
        <w:t>5.10.2</w:t>
        <w:tab/>
      </w:r>
      <w:r>
        <w:rPr>
          <w:b w:val="0"/>
        </w:rPr>
        <w:t>Staff follow and record sponsor instructions for sterilization, reprocessing, maintenance and software versions.</w:t>
      </w:r>
    </w:p>
    <w:p>
      <w:pPr>
        <w:tabs>
          <w:tab w:pos="648" w:val="left"/>
        </w:tabs>
        <w:ind w:left="648" w:hanging="648"/>
      </w:pPr>
      <w:r>
        <w:rPr>
          <w:b/>
        </w:rPr>
        <w:t>5.10.3</w:t>
        <w:tab/>
      </w:r>
      <w:r>
        <w:rPr>
          <w:b w:val="0"/>
        </w:rPr>
        <w:t>A malfunctioning device is quarantined, reported to the sponsor as a device deficiency and assessed for safety reporting (SOP-09). At the end, devices are returned or disposed of as the sponsor directs (21 CFR 812.110(e)).</w:t>
      </w:r>
    </w:p>
    <w:p>
      <w:pPr>
        <w:pStyle w:val="Heading2"/>
      </w:pPr>
      <w:r>
        <w:t>5.11 Expiry, recalls and transfers</w:t>
      </w:r>
    </w:p>
    <w:p>
      <w:pPr>
        <w:tabs>
          <w:tab w:pos="648" w:val="left"/>
        </w:tabs>
        <w:ind w:left="648" w:hanging="648"/>
      </w:pPr>
      <w:r>
        <w:rPr>
          <w:b/>
        </w:rPr>
        <w:t>5.11.1</w:t>
        <w:tab/>
      </w:r>
      <w:r>
        <w:rPr>
          <w:b w:val="0"/>
        </w:rPr>
        <w:t>Expired IP is quarantined, marked expired in IRT and never dispensed. Relabeling with a new expiry happens only on the sponsor's written instruction and is recorded.</w:t>
      </w:r>
    </w:p>
    <w:p>
      <w:pPr>
        <w:tabs>
          <w:tab w:pos="648" w:val="left"/>
        </w:tabs>
        <w:ind w:left="648" w:hanging="648"/>
      </w:pPr>
      <w:r>
        <w:rPr>
          <w:b/>
        </w:rPr>
        <w:t>5.11.2</w:t>
        <w:tab/>
      </w:r>
      <w:r>
        <w:rPr>
          <w:b w:val="0"/>
        </w:rPr>
        <w:t>On a recall or quality notice, the IP Manager quarantines affected lots, identifies participants holding affected IP from F-304-04, informs the PI and follows the sponsor's instructions. Actions and participant contacts are recorded.</w:t>
      </w:r>
    </w:p>
    <w:p>
      <w:pPr>
        <w:tabs>
          <w:tab w:pos="648" w:val="left"/>
        </w:tabs>
        <w:ind w:left="648" w:hanging="648"/>
      </w:pPr>
      <w:r>
        <w:rPr>
          <w:b/>
        </w:rPr>
        <w:t>5.11.3</w:t>
        <w:tab/>
      </w:r>
      <w:r>
        <w:rPr>
          <w:b w:val="0"/>
        </w:rPr>
        <w:t xml:space="preserve">IP moves between </w:t>
      </w:r>
      <w:r>
        <w:rPr>
          <w:b w:val="0"/>
          <w:highlight w:val="yellow"/>
        </w:rPr>
        <w:t>[SITE NAME]</w:t>
      </w:r>
      <w:r>
        <w:rPr>
          <w:b w:val="0"/>
        </w:rPr>
        <w:t xml:space="preserve"> locations only with written sponsor authorization, only to a location listed for the study (5.1.3), in a qualified container with a temperature monitor where the IP is temperature-controlled. Both locations record the transfer on F-304-01 (date, kit, lot or serial numbers, expiry, transport, sender, receiver). The receiver reviews the monitor reading before storing, and IRT is updated where it tracks location.</w:t>
      </w:r>
    </w:p>
    <w:p>
      <w:pPr>
        <w:pStyle w:val="Heading2"/>
      </w:pPr>
      <w:r>
        <w:t>5.12 Return and destruction</w:t>
      </w:r>
    </w:p>
    <w:p>
      <w:pPr>
        <w:tabs>
          <w:tab w:pos="648" w:val="left"/>
        </w:tabs>
        <w:ind w:left="648" w:hanging="648"/>
      </w:pPr>
      <w:r>
        <w:rPr>
          <w:b/>
        </w:rPr>
        <w:t>5.12.1</w:t>
        <w:tab/>
      </w:r>
      <w:r>
        <w:rPr>
          <w:b w:val="0"/>
        </w:rPr>
        <w:t>IP is returned or destroyed only on the sponsor's written authorization (21 CFR 312.59; 21 CFR 312.62(a)), after the monitor verifies accountability where the sponsor requires and the IP Manager reconciles F-304-01 and F-304-04 so all quantities balance.</w:t>
      </w:r>
    </w:p>
    <w:p>
      <w:pPr>
        <w:tabs>
          <w:tab w:pos="648" w:val="left"/>
        </w:tabs>
        <w:ind w:left="648" w:hanging="648"/>
      </w:pPr>
      <w:r>
        <w:rPr>
          <w:b/>
        </w:rPr>
        <w:t>5.12.2</w:t>
        <w:tab/>
      </w:r>
      <w:r>
        <w:rPr>
          <w:b w:val="0"/>
        </w:rPr>
        <w:t>For return, the IP Manager completes the sponsor's return form, packs IP as instructed, keeps the form and shipping record, and updates IRT and F-304-01.</w:t>
      </w:r>
    </w:p>
    <w:p>
      <w:pPr>
        <w:tabs>
          <w:tab w:pos="648" w:val="left"/>
        </w:tabs>
        <w:ind w:left="648" w:hanging="648"/>
      </w:pPr>
      <w:r>
        <w:rPr>
          <w:b/>
        </w:rPr>
        <w:t>5.12.3</w:t>
        <w:tab/>
      </w:r>
      <w:r>
        <w:rPr>
          <w:b w:val="0"/>
        </w:rPr>
        <w:t>For destruction, the IP Manager uses a sponsor-approved method and vendor (SOP-M1, if adopted) and files the certificate of destruction stating what was destroyed, when, how and by whom. Hazardous, cytotoxic or biological IP is handled under the site's waste arrangements and sponsor instructions.</w:t>
      </w:r>
    </w:p>
    <w:p>
      <w:pPr>
        <w:pStyle w:val="Heading1"/>
      </w:pPr>
      <w:r>
        <w:t>6. Related Forms and SOPs</w:t>
      </w:r>
    </w:p>
    <w:p>
      <w:pPr>
        <w:pStyle w:val="ListBullet"/>
        <w:spacing w:after="40"/>
        <w:ind w:left="360" w:hanging="259"/>
      </w:pPr>
      <w:r>
        <w:rPr>
          <w:b w:val="0"/>
        </w:rPr>
        <w:t>F-304-01 Investigational Product Accountability Log (site inventory ledger)</w:t>
      </w:r>
    </w:p>
    <w:p>
      <w:pPr>
        <w:pStyle w:val="ListBullet"/>
        <w:spacing w:after="40"/>
        <w:ind w:left="360" w:hanging="259"/>
      </w:pPr>
      <w:r>
        <w:rPr>
          <w:b w:val="0"/>
        </w:rPr>
        <w:t>F-304-02 Temperature Monitoring Log</w:t>
      </w:r>
    </w:p>
    <w:p>
      <w:pPr>
        <w:pStyle w:val="ListBullet"/>
        <w:spacing w:after="40"/>
        <w:ind w:left="360" w:hanging="259"/>
      </w:pPr>
      <w:r>
        <w:rPr>
          <w:b w:val="0"/>
        </w:rPr>
        <w:t>F-304-03 Temperature Excursion Report</w:t>
      </w:r>
    </w:p>
    <w:p>
      <w:pPr>
        <w:pStyle w:val="ListBullet"/>
        <w:spacing w:after="40"/>
        <w:ind w:left="360" w:hanging="259"/>
      </w:pPr>
      <w:r>
        <w:rPr>
          <w:b w:val="0"/>
        </w:rPr>
        <w:t>F-304-04 Participant IP Dispensing and Return Log</w:t>
      </w:r>
    </w:p>
    <w:p>
      <w:pPr>
        <w:pStyle w:val="ListBullet"/>
        <w:spacing w:after="40"/>
        <w:ind w:left="360" w:hanging="259"/>
      </w:pPr>
      <w:r>
        <w:rPr>
          <w:b w:val="0"/>
        </w:rPr>
        <w:t>F-302-01 Delegation of Authority Log</w:t>
      </w:r>
    </w:p>
    <w:p>
      <w:pPr>
        <w:pStyle w:val="ListBullet"/>
        <w:spacing w:after="40"/>
        <w:ind w:left="360" w:hanging="259"/>
      </w:pPr>
      <w:r>
        <w:rPr>
          <w:b w:val="0"/>
        </w:rPr>
        <w:t>F-103-01 Staff Training Log</w:t>
      </w:r>
    </w:p>
    <w:p>
      <w:pPr>
        <w:pStyle w:val="ListBullet"/>
        <w:spacing w:after="40"/>
        <w:ind w:left="360" w:hanging="259"/>
      </w:pPr>
      <w:r>
        <w:rPr>
          <w:b w:val="0"/>
        </w:rPr>
        <w:t>F-312-01 Equipment Inventory and Calibration Log</w:t>
      </w:r>
    </w:p>
    <w:p>
      <w:pPr>
        <w:pStyle w:val="ListBullet"/>
        <w:spacing w:after="40"/>
        <w:ind w:left="360" w:hanging="259"/>
      </w:pPr>
      <w:r>
        <w:rPr>
          <w:b w:val="0"/>
        </w:rPr>
        <w:t>F-401-01 Computerized System Inventory and Access Log</w:t>
      </w:r>
    </w:p>
    <w:p>
      <w:pPr>
        <w:pStyle w:val="ListBullet"/>
        <w:spacing w:after="40"/>
        <w:ind w:left="360" w:hanging="259"/>
      </w:pPr>
      <w:r>
        <w:rPr>
          <w:b w:val="0"/>
        </w:rPr>
        <w:t>F-705-01 Business Continuity Plan and Emergency Contacts</w:t>
      </w:r>
    </w:p>
    <w:p>
      <w:pPr>
        <w:pStyle w:val="ListBullet"/>
        <w:spacing w:after="40"/>
        <w:ind w:left="360" w:hanging="259"/>
      </w:pPr>
      <w:r>
        <w:rPr>
          <w:b w:val="0"/>
        </w:rPr>
        <w:t>SOP-02 Roles, PI Oversight, Delegation and Conflicts of Interest</w:t>
      </w:r>
    </w:p>
    <w:p>
      <w:pPr>
        <w:pStyle w:val="ListBullet"/>
        <w:spacing w:after="40"/>
        <w:ind w:left="360" w:hanging="259"/>
      </w:pPr>
      <w:r>
        <w:rPr>
          <w:b w:val="0"/>
        </w:rPr>
        <w:t>SOP-05 Pre-Screening, Screening, Eligibility, Randomization and Blinding</w:t>
      </w:r>
    </w:p>
    <w:p>
      <w:pPr>
        <w:pStyle w:val="ListBullet"/>
        <w:spacing w:after="40"/>
        <w:ind w:left="360" w:hanging="259"/>
      </w:pPr>
      <w:r>
        <w:rPr>
          <w:b w:val="0"/>
        </w:rPr>
        <w:t>SOP-07 Source Documentation and EDC</w:t>
      </w:r>
    </w:p>
    <w:p>
      <w:pPr>
        <w:pStyle w:val="ListBullet"/>
        <w:spacing w:after="40"/>
        <w:ind w:left="360" w:hanging="259"/>
      </w:pPr>
      <w:r>
        <w:rPr>
          <w:b w:val="0"/>
        </w:rPr>
        <w:t>SOP-08 Protocol Deviations and CAPA</w:t>
      </w:r>
    </w:p>
    <w:p>
      <w:pPr>
        <w:pStyle w:val="ListBullet"/>
        <w:spacing w:after="40"/>
        <w:ind w:left="360" w:hanging="259"/>
      </w:pPr>
      <w:r>
        <w:rPr>
          <w:b w:val="0"/>
        </w:rPr>
        <w:t>SOP-09 Safety Reporting (AEs, SAEs, IRB-Reportable Events, Pregnancy)</w:t>
      </w:r>
    </w:p>
    <w:p>
      <w:pPr>
        <w:pStyle w:val="ListBullet"/>
        <w:spacing w:after="40"/>
        <w:ind w:left="360" w:hanging="259"/>
      </w:pPr>
      <w:r>
        <w:rPr>
          <w:b w:val="0"/>
        </w:rPr>
        <w:t>SOP-11 Specimens, Equipment and Laboratories</w:t>
      </w:r>
    </w:p>
    <w:p>
      <w:pPr>
        <w:pStyle w:val="ListBullet"/>
        <w:spacing w:after="40"/>
        <w:ind w:left="360" w:hanging="259"/>
      </w:pPr>
      <w:r>
        <w:rPr>
          <w:b w:val="0"/>
        </w:rPr>
        <w:t>SOP-12 Privacy, Electronic Systems and Record Retention</w:t>
      </w:r>
    </w:p>
    <w:p>
      <w:pPr>
        <w:pStyle w:val="ListBullet"/>
        <w:spacing w:after="40"/>
        <w:ind w:left="360" w:hanging="259"/>
      </w:pPr>
      <w:r>
        <w:rPr>
          <w:b w:val="0"/>
        </w:rPr>
        <w:t>SOP-13 Monitoring, Audits and Inspections</w:t>
      </w:r>
    </w:p>
    <w:p>
      <w:pPr>
        <w:pStyle w:val="ListBullet"/>
        <w:spacing w:after="40"/>
        <w:ind w:left="360" w:hanging="259"/>
      </w:pPr>
      <w:r>
        <w:rPr>
          <w:b w:val="0"/>
        </w:rPr>
        <w:t>SOP-14 Quality Control and Quality Review</w:t>
      </w:r>
    </w:p>
    <w:p>
      <w:pPr>
        <w:pStyle w:val="ListBullet"/>
        <w:spacing w:after="40"/>
        <w:ind w:left="360" w:hanging="259"/>
      </w:pPr>
      <w:r>
        <w:rPr>
          <w:b w:val="0"/>
        </w:rPr>
        <w:t>SOP-M1 Service Providers and Vendors (if adopted)</w:t>
      </w:r>
    </w:p>
    <w:p>
      <w:pPr>
        <w:pStyle w:val="ListBullet"/>
        <w:spacing w:after="40"/>
        <w:ind w:left="360" w:hanging="259"/>
      </w:pPr>
      <w:r>
        <w:rPr>
          <w:b w:val="0"/>
        </w:rPr>
        <w:t>SOP-M4 Decentralized Trial Elements (if adopted)</w:t>
      </w:r>
    </w:p>
    <w:p>
      <w:pPr>
        <w:pStyle w:val="ListBullet"/>
        <w:spacing w:after="40"/>
        <w:ind w:left="360" w:hanging="259"/>
      </w:pPr>
      <w:r>
        <w:rPr>
          <w:b w:val="0"/>
        </w:rPr>
        <w:t>Appendix A State Law Worksheet</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312.59, 312.61, 312.62, 312.69</w:t>
            </w:r>
          </w:p>
        </w:tc>
        <w:tc>
          <w:tcPr>
            <w:tcW w:type="dxa" w:w="6946"/>
          </w:tcPr>
          <w:p>
            <w:pPr>
              <w:spacing w:after="0"/>
            </w:pPr>
            <w:r>
              <w:rPr>
                <w:b w:val="0"/>
                <w:sz w:val="19"/>
              </w:rPr>
              <w:t>Disposition of unused drug; control of the drug; investigator records; controlled substances</w:t>
            </w:r>
          </w:p>
        </w:tc>
      </w:tr>
      <w:tr>
        <w:trPr>
          <w:cantSplit w:val="true"/>
        </w:trPr>
        <w:tc>
          <w:tcPr>
            <w:tcW w:type="dxa" w:w="2701"/>
          </w:tcPr>
          <w:p>
            <w:pPr>
              <w:spacing w:after="0"/>
            </w:pPr>
            <w:r>
              <w:rPr>
                <w:b w:val="0"/>
                <w:sz w:val="19"/>
              </w:rPr>
              <w:t>21 CFR 812.110 and 812.140</w:t>
            </w:r>
          </w:p>
        </w:tc>
        <w:tc>
          <w:tcPr>
            <w:tcW w:type="dxa" w:w="6946"/>
          </w:tcPr>
          <w:p>
            <w:pPr>
              <w:spacing w:after="0"/>
            </w:pPr>
            <w:r>
              <w:rPr>
                <w:b w:val="0"/>
                <w:sz w:val="19"/>
              </w:rPr>
              <w:t>Investigator responsibilities and records (devices)</w:t>
            </w:r>
          </w:p>
        </w:tc>
      </w:tr>
      <w:tr>
        <w:trPr>
          <w:cantSplit w:val="true"/>
        </w:trPr>
        <w:tc>
          <w:tcPr>
            <w:tcW w:type="dxa" w:w="2701"/>
          </w:tcPr>
          <w:p>
            <w:pPr>
              <w:spacing w:after="0"/>
            </w:pPr>
            <w:r>
              <w:rPr>
                <w:b w:val="0"/>
                <w:sz w:val="19"/>
              </w:rPr>
              <w:t>21 CFR 1301.12, 1301.13, 1301.18</w:t>
            </w:r>
          </w:p>
        </w:tc>
        <w:tc>
          <w:tcPr>
            <w:tcW w:type="dxa" w:w="6946"/>
          </w:tcPr>
          <w:p>
            <w:pPr>
              <w:spacing w:after="0"/>
            </w:pPr>
            <w:r>
              <w:rPr>
                <w:b w:val="0"/>
                <w:sz w:val="19"/>
              </w:rPr>
              <w:t>DEA registration by location; registration categories; Schedule I research</w:t>
            </w:r>
          </w:p>
        </w:tc>
      </w:tr>
      <w:tr>
        <w:trPr>
          <w:cantSplit w:val="true"/>
        </w:trPr>
        <w:tc>
          <w:tcPr>
            <w:tcW w:type="dxa" w:w="2701"/>
          </w:tcPr>
          <w:p>
            <w:pPr>
              <w:spacing w:after="0"/>
            </w:pPr>
            <w:r>
              <w:rPr>
                <w:b w:val="0"/>
                <w:sz w:val="19"/>
              </w:rPr>
              <w:t>21 CFR 1301.75, 1301.76</w:t>
            </w:r>
          </w:p>
        </w:tc>
        <w:tc>
          <w:tcPr>
            <w:tcW w:type="dxa" w:w="6946"/>
          </w:tcPr>
          <w:p>
            <w:pPr>
              <w:spacing w:after="0"/>
            </w:pPr>
            <w:r>
              <w:rPr>
                <w:b w:val="0"/>
                <w:sz w:val="19"/>
              </w:rPr>
              <w:t>Physical security controls; theft or loss</w:t>
            </w:r>
          </w:p>
        </w:tc>
      </w:tr>
      <w:tr>
        <w:trPr>
          <w:cantSplit w:val="true"/>
        </w:trPr>
        <w:tc>
          <w:tcPr>
            <w:tcW w:type="dxa" w:w="2701"/>
          </w:tcPr>
          <w:p>
            <w:pPr>
              <w:spacing w:after="0"/>
            </w:pPr>
            <w:r>
              <w:rPr>
                <w:b w:val="0"/>
                <w:sz w:val="19"/>
              </w:rPr>
              <w:t>21 CFR 1304</w:t>
            </w:r>
          </w:p>
        </w:tc>
        <w:tc>
          <w:tcPr>
            <w:tcW w:type="dxa" w:w="6946"/>
          </w:tcPr>
          <w:p>
            <w:pPr>
              <w:spacing w:after="0"/>
            </w:pPr>
            <w:r>
              <w:rPr>
                <w:b w:val="0"/>
                <w:sz w:val="19"/>
              </w:rPr>
              <w:t>Records and reports of registrants</w:t>
            </w:r>
          </w:p>
        </w:tc>
      </w:tr>
      <w:tr>
        <w:trPr>
          <w:cantSplit w:val="true"/>
        </w:trPr>
        <w:tc>
          <w:tcPr>
            <w:tcW w:type="dxa" w:w="2701"/>
          </w:tcPr>
          <w:p>
            <w:pPr>
              <w:spacing w:after="0"/>
            </w:pPr>
            <w:r>
              <w:rPr>
                <w:b w:val="0"/>
                <w:sz w:val="19"/>
              </w:rPr>
              <w:t>21 CFR 1317</w:t>
            </w:r>
          </w:p>
        </w:tc>
        <w:tc>
          <w:tcPr>
            <w:tcW w:type="dxa" w:w="6946"/>
          </w:tcPr>
          <w:p>
            <w:pPr>
              <w:spacing w:after="0"/>
            </w:pPr>
            <w:r>
              <w:rPr>
                <w:b w:val="0"/>
                <w:sz w:val="19"/>
              </w:rPr>
              <w:t>Disposal</w:t>
            </w:r>
          </w:p>
        </w:tc>
      </w:tr>
      <w:tr>
        <w:trPr>
          <w:cantSplit w:val="true"/>
        </w:trPr>
        <w:tc>
          <w:tcPr>
            <w:tcW w:type="dxa" w:w="2701"/>
          </w:tcPr>
          <w:p>
            <w:pPr>
              <w:spacing w:after="0"/>
            </w:pPr>
            <w:r>
              <w:rPr>
                <w:b w:val="0"/>
                <w:sz w:val="19"/>
              </w:rPr>
              <w:t>ICH E6(R3) Annex 1, 2.10</w:t>
            </w:r>
          </w:p>
        </w:tc>
        <w:tc>
          <w:tcPr>
            <w:tcW w:type="dxa" w:w="6946"/>
          </w:tcPr>
          <w:p>
            <w:pPr>
              <w:spacing w:after="0"/>
            </w:pPr>
            <w:r>
              <w:rPr>
                <w:b w:val="0"/>
                <w:sz w:val="19"/>
              </w:rPr>
              <w:t>Investigational Product Management</w:t>
            </w:r>
          </w:p>
        </w:tc>
      </w:tr>
      <w:tr>
        <w:trPr>
          <w:cantSplit w:val="true"/>
        </w:trPr>
        <w:tc>
          <w:tcPr>
            <w:tcW w:type="dxa" w:w="2701"/>
          </w:tcPr>
          <w:p>
            <w:pPr>
              <w:spacing w:after="0"/>
            </w:pPr>
            <w:r>
              <w:rPr>
                <w:b w:val="0"/>
                <w:sz w:val="19"/>
              </w:rPr>
              <w:t>ICH E6(R3) Appendix C</w:t>
            </w:r>
          </w:p>
        </w:tc>
        <w:tc>
          <w:tcPr>
            <w:tcW w:type="dxa" w:w="6946"/>
          </w:tcPr>
          <w:p>
            <w:pPr>
              <w:spacing w:after="0"/>
            </w:pPr>
            <w:r>
              <w:rPr>
                <w:b w:val="0"/>
                <w:sz w:val="19"/>
              </w:rPr>
              <w:t>Essential Records (maintenance and calibration records)</w:t>
            </w:r>
          </w:p>
        </w:tc>
      </w:tr>
      <w:tr>
        <w:trPr>
          <w:cantSplit w:val="true"/>
        </w:trPr>
        <w:tc>
          <w:tcPr>
            <w:tcW w:type="dxa" w:w="2701"/>
          </w:tcPr>
          <w:p>
            <w:pPr>
              <w:spacing w:after="0"/>
            </w:pPr>
            <w:r>
              <w:rPr>
                <w:b w:val="0"/>
                <w:sz w:val="19"/>
              </w:rPr>
              <w:t>ISO 14155 (current edition)</w:t>
            </w:r>
          </w:p>
        </w:tc>
        <w:tc>
          <w:tcPr>
            <w:tcW w:type="dxa" w:w="6946"/>
          </w:tcPr>
          <w:p>
            <w:pPr>
              <w:spacing w:after="0"/>
            </w:pPr>
            <w:r>
              <w:rPr>
                <w:b w:val="0"/>
                <w:sz w:val="19"/>
              </w:rPr>
              <w:t>Clinical investigation of medical devices for human subjects</w:t>
            </w:r>
          </w:p>
        </w:tc>
      </w:tr>
      <w:tr>
        <w:trPr>
          <w:cantSplit w:val="true"/>
        </w:trPr>
        <w:tc>
          <w:tcPr>
            <w:tcW w:type="dxa" w:w="2701"/>
          </w:tcPr>
          <w:p>
            <w:pPr>
              <w:spacing w:after="0"/>
            </w:pPr>
            <w:r>
              <w:rPr>
                <w:b w:val="0"/>
                <w:sz w:val="19"/>
              </w:rPr>
              <w:t>Reference Edition SOP-304, SOP-312</w:t>
            </w:r>
          </w:p>
        </w:tc>
        <w:tc>
          <w:tcPr>
            <w:tcW w:type="dxa" w:w="6946"/>
          </w:tcPr>
          <w:p>
            <w:pPr>
              <w:spacing w:after="0"/>
            </w:pPr>
            <w:r>
              <w:rPr>
                <w:b w:val="0"/>
                <w:sz w:val="19"/>
              </w:rPr>
              <w:t>Background and full text</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Lean Edition template release 2.0.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(SOP-01).</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SOP-06 Investigational Product Management</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SOP-06 Investigational Product Management</dc:title>
  <dc:subject>SOP</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