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SOP-04</w:t>
      </w:r>
    </w:p>
    <w:p>
      <w:pPr>
        <w:pStyle w:val="Title"/>
        <w:pBdr>
          <w:bottom w:val="single" w:sz="12" w:space="1" w:color="1F3864"/>
        </w:pBdr>
        <w:spacing w:after="120"/>
      </w:pPr>
      <w:r>
        <w:rPr>
          <w:b w:val="0"/>
          <w:color w:val="1F3864"/>
          <w:sz w:val="36"/>
        </w:rPr>
        <w:t>Informed Consent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obtains, documents and maintains the informed consent of trial participants. Sections 5.1 to 5.4 are the in-room steps for every consent. Sections 5.5 to 5.12 cover version control and special situations.</w:t>
      </w:r>
    </w:p>
    <w:p>
      <w:pPr>
        <w:pStyle w:val="Heading1"/>
      </w:pPr>
      <w:r>
        <w:t>2. Scope</w:t>
      </w:r>
    </w:p>
    <w:p>
      <w:pPr/>
      <w:r>
        <w:rPr>
          <w:b w:val="0"/>
        </w:rPr>
        <w:t xml:space="preserve">This SOP applies to every study at </w:t>
      </w:r>
      <w:r>
        <w:rPr>
          <w:b w:val="0"/>
          <w:highlight w:val="yellow"/>
        </w:rPr>
        <w:t>[SITE NAME]</w:t>
      </w:r>
      <w:r>
        <w:rPr>
          <w:b w:val="0"/>
        </w:rPr>
        <w:t xml:space="preserve"> that requires consent, including pre-screening procedures, optional sub-studies, specimen banking and future use, at every location and for remote consent. Who may act as a legally authorized representative (LAR), the age of majority and state-required consent documents depend on state law; the site records them in Appendix A State Law Worksheet, and the IRB's determinations for each study govern. Federally funded studies are also subject to 45 CFR 46. Withdrawal of consent is in SOP-10.</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Responsible for consent of every participant. Delegates consent on F-302-01. Answers medical questions or makes a Sub-I available. Assesses capacity when in doubt. Decides corrective action for consent errors.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Obtains consent when delegated. Answers medical questions. Assesses capacity when delegated.</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Obtains consent when delegated. Checks the version, completes F-301-01, gives the participant a copy, files the form and tracks re-consent.</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consent materials to the IRB (SOP-03). Keeps F-301-02, releases new versions and withdraws superseded ones.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Runs consent QC (5.4.4; SOP-14, 5.3). Trends consent errors and opens CAPA when they recur (SOP-08).</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Perform no study procedure on a person whose consent is not documented. Report suspected consent errors to the PI the same day.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Informed consent</w:t>
            </w:r>
          </w:p>
        </w:tc>
        <w:tc>
          <w:tcPr>
            <w:tcW w:type="dxa" w:w="6946"/>
          </w:tcPr>
          <w:p>
            <w:pPr>
              <w:spacing w:after="0"/>
            </w:pPr>
            <w:r>
              <w:rPr>
                <w:b w:val="0"/>
                <w:sz w:val="19"/>
              </w:rPr>
              <w:t>A process by which a participant voluntarily confirms willingness to take part after being informed of all aspects relevant to the decision, documented by a signed and dated consent form unless the IRB has waived documentation.</w:t>
            </w:r>
          </w:p>
        </w:tc>
      </w:tr>
      <w:tr>
        <w:trPr>
          <w:cantSplit w:val="true"/>
        </w:trPr>
        <w:tc>
          <w:tcPr>
            <w:tcW w:type="dxa" w:w="2701"/>
          </w:tcPr>
          <w:p>
            <w:pPr>
              <w:spacing w:after="0"/>
            </w:pPr>
            <w:r>
              <w:rPr>
                <w:b w:val="0"/>
                <w:sz w:val="19"/>
              </w:rPr>
              <w:t>Legally authorized representative (LAR)</w:t>
            </w:r>
          </w:p>
        </w:tc>
        <w:tc>
          <w:tcPr>
            <w:tcW w:type="dxa" w:w="6946"/>
          </w:tcPr>
          <w:p>
            <w:pPr>
              <w:spacing w:after="0"/>
            </w:pPr>
            <w:r>
              <w:rPr>
                <w:b w:val="0"/>
                <w:sz w:val="19"/>
              </w:rPr>
              <w:t>An individual or judicial or other body authorized under applicable law to consent on behalf of a prospective participant (21 CFR 50.3(l)).</w:t>
            </w:r>
          </w:p>
        </w:tc>
      </w:tr>
      <w:tr>
        <w:trPr>
          <w:cantSplit w:val="true"/>
        </w:trPr>
        <w:tc>
          <w:tcPr>
            <w:tcW w:type="dxa" w:w="2701"/>
          </w:tcPr>
          <w:p>
            <w:pPr>
              <w:spacing w:after="0"/>
            </w:pPr>
            <w:r>
              <w:rPr>
                <w:b w:val="0"/>
                <w:sz w:val="19"/>
              </w:rPr>
              <w:t>Children</w:t>
            </w:r>
          </w:p>
        </w:tc>
        <w:tc>
          <w:tcPr>
            <w:tcW w:type="dxa" w:w="6946"/>
          </w:tcPr>
          <w:p>
            <w:pPr>
              <w:spacing w:after="0"/>
            </w:pPr>
            <w:r>
              <w:rPr>
                <w:b w:val="0"/>
                <w:sz w:val="19"/>
              </w:rPr>
              <w:t>Persons who have not reached the legal age for consent to the treatments or procedures involved, under the law where the trial is conducted (21 CFR 50.3(o)).</w:t>
            </w:r>
          </w:p>
        </w:tc>
      </w:tr>
      <w:tr>
        <w:trPr>
          <w:cantSplit w:val="true"/>
        </w:trPr>
        <w:tc>
          <w:tcPr>
            <w:tcW w:type="dxa" w:w="2701"/>
          </w:tcPr>
          <w:p>
            <w:pPr>
              <w:spacing w:after="0"/>
            </w:pPr>
            <w:r>
              <w:rPr>
                <w:b w:val="0"/>
                <w:sz w:val="19"/>
              </w:rPr>
              <w:t>Assent</w:t>
            </w:r>
          </w:p>
        </w:tc>
        <w:tc>
          <w:tcPr>
            <w:tcW w:type="dxa" w:w="6946"/>
          </w:tcPr>
          <w:p>
            <w:pPr>
              <w:spacing w:after="0"/>
            </w:pPr>
            <w:r>
              <w:rPr>
                <w:b w:val="0"/>
                <w:sz w:val="19"/>
              </w:rPr>
              <w:t>A child's affirmative agreement to participate; failure to object is not assent (21 CFR 50.3(n)).</w:t>
            </w:r>
          </w:p>
        </w:tc>
      </w:tr>
      <w:tr>
        <w:trPr>
          <w:cantSplit w:val="true"/>
        </w:trPr>
        <w:tc>
          <w:tcPr>
            <w:tcW w:type="dxa" w:w="2701"/>
          </w:tcPr>
          <w:p>
            <w:pPr>
              <w:spacing w:after="0"/>
            </w:pPr>
            <w:r>
              <w:rPr>
                <w:b w:val="0"/>
                <w:sz w:val="19"/>
              </w:rPr>
              <w:t>Permission</w:t>
            </w:r>
          </w:p>
        </w:tc>
        <w:tc>
          <w:tcPr>
            <w:tcW w:type="dxa" w:w="6946"/>
          </w:tcPr>
          <w:p>
            <w:pPr>
              <w:spacing w:after="0"/>
            </w:pPr>
            <w:r>
              <w:rPr>
                <w:b w:val="0"/>
                <w:sz w:val="19"/>
              </w:rPr>
              <w:t>A parent's or guardian's agreement to their child's participation (21 CFR 50.3(r)).</w:t>
            </w:r>
          </w:p>
        </w:tc>
      </w:tr>
      <w:tr>
        <w:trPr>
          <w:cantSplit w:val="true"/>
        </w:trPr>
        <w:tc>
          <w:tcPr>
            <w:tcW w:type="dxa" w:w="2701"/>
          </w:tcPr>
          <w:p>
            <w:pPr>
              <w:spacing w:after="0"/>
            </w:pPr>
            <w:r>
              <w:rPr>
                <w:b w:val="0"/>
                <w:sz w:val="19"/>
              </w:rPr>
              <w:t>Impartial witness</w:t>
            </w:r>
          </w:p>
        </w:tc>
        <w:tc>
          <w:tcPr>
            <w:tcW w:type="dxa" w:w="6946"/>
          </w:tcPr>
          <w:p>
            <w:pPr>
              <w:spacing w:after="0"/>
            </w:pPr>
            <w:r>
              <w:rPr>
                <w:b w:val="0"/>
                <w:sz w:val="19"/>
              </w:rPr>
              <w:t>A person independent of the trial, who cannot be unfairly influenced by people involved with it, who attends consent when the participant or LAR cannot read, or for the short form process.</w:t>
            </w:r>
          </w:p>
        </w:tc>
      </w:tr>
      <w:tr>
        <w:trPr>
          <w:cantSplit w:val="true"/>
        </w:trPr>
        <w:tc>
          <w:tcPr>
            <w:tcW w:type="dxa" w:w="2701"/>
          </w:tcPr>
          <w:p>
            <w:pPr>
              <w:spacing w:after="0"/>
            </w:pPr>
            <w:r>
              <w:rPr>
                <w:b w:val="0"/>
                <w:sz w:val="19"/>
              </w:rPr>
              <w:t>Short form</w:t>
            </w:r>
          </w:p>
        </w:tc>
        <w:tc>
          <w:tcPr>
            <w:tcW w:type="dxa" w:w="6946"/>
          </w:tcPr>
          <w:p>
            <w:pPr>
              <w:spacing w:after="0"/>
            </w:pPr>
            <w:r>
              <w:rPr>
                <w:b w:val="0"/>
                <w:sz w:val="19"/>
              </w:rPr>
              <w:t>A written document stating that the required elements were presented orally, used with an IRB-approved written summary and a witness (21 CFR 50.27(b)(2)).</w:t>
            </w:r>
          </w:p>
        </w:tc>
      </w:tr>
      <w:tr>
        <w:trPr>
          <w:cantSplit w:val="true"/>
        </w:trPr>
        <w:tc>
          <w:tcPr>
            <w:tcW w:type="dxa" w:w="2701"/>
          </w:tcPr>
          <w:p>
            <w:pPr>
              <w:spacing w:after="0"/>
            </w:pPr>
            <w:r>
              <w:rPr>
                <w:b w:val="0"/>
                <w:sz w:val="19"/>
              </w:rPr>
              <w:t>Key information</w:t>
            </w:r>
          </w:p>
        </w:tc>
        <w:tc>
          <w:tcPr>
            <w:tcW w:type="dxa" w:w="6946"/>
          </w:tcPr>
          <w:p>
            <w:pPr>
              <w:spacing w:after="0"/>
            </w:pPr>
            <w:r>
              <w:rPr>
                <w:b w:val="0"/>
                <w:sz w:val="19"/>
              </w:rPr>
              <w:t>A concise summary at the start of the consent form of the information most likely to help a person decide; required for Common Rule research and by many IRBs for all research.</w:t>
            </w:r>
          </w:p>
        </w:tc>
      </w:tr>
      <w:tr>
        <w:trPr>
          <w:cantSplit w:val="true"/>
        </w:trPr>
        <w:tc>
          <w:tcPr>
            <w:tcW w:type="dxa" w:w="2701"/>
          </w:tcPr>
          <w:p>
            <w:pPr>
              <w:spacing w:after="0"/>
            </w:pPr>
            <w:r>
              <w:rPr>
                <w:b w:val="0"/>
                <w:sz w:val="19"/>
              </w:rPr>
              <w:t>eConsent</w:t>
            </w:r>
          </w:p>
        </w:tc>
        <w:tc>
          <w:tcPr>
            <w:tcW w:type="dxa" w:w="6946"/>
          </w:tcPr>
          <w:p>
            <w:pPr>
              <w:spacing w:after="0"/>
            </w:pPr>
            <w:r>
              <w:rPr>
                <w:b w:val="0"/>
                <w:sz w:val="19"/>
              </w:rPr>
              <w:t>Electronic systems used to give consent information, check understanding and document consent.</w:t>
            </w:r>
          </w:p>
        </w:tc>
      </w:tr>
      <w:tr>
        <w:trPr>
          <w:cantSplit w:val="true"/>
        </w:trPr>
        <w:tc>
          <w:tcPr>
            <w:tcW w:type="dxa" w:w="2701"/>
          </w:tcPr>
          <w:p>
            <w:pPr>
              <w:spacing w:after="0"/>
            </w:pPr>
            <w:r>
              <w:rPr>
                <w:b w:val="0"/>
                <w:sz w:val="19"/>
              </w:rPr>
              <w:t>Study consent checklist</w:t>
            </w:r>
          </w:p>
        </w:tc>
        <w:tc>
          <w:tcPr>
            <w:tcW w:type="dxa" w:w="6946"/>
          </w:tcPr>
          <w:p>
            <w:pPr>
              <w:spacing w:after="0"/>
            </w:pPr>
            <w:r>
              <w:rPr>
                <w:b w:val="0"/>
                <w:sz w:val="19"/>
              </w:rPr>
              <w:t>The study page of F-301-02. It records the IRB's state-law determinations (LAR authority, age of majority, governing state for remote consent), short-form rules, waivers, state-required documents and the consent versions in use.</w:t>
            </w:r>
          </w:p>
        </w:tc>
      </w:tr>
      <w:tr>
        <w:trPr>
          <w:cantSplit w:val="true"/>
        </w:trPr>
        <w:tc>
          <w:tcPr>
            <w:tcW w:type="dxa" w:w="2701"/>
          </w:tcPr>
          <w:p>
            <w:pPr>
              <w:spacing w:after="0"/>
            </w:pPr>
            <w:r>
              <w:rPr>
                <w:b w:val="0"/>
                <w:sz w:val="19"/>
              </w:rPr>
              <w:t>Re-consent</w:t>
            </w:r>
          </w:p>
        </w:tc>
        <w:tc>
          <w:tcPr>
            <w:tcW w:type="dxa" w:w="6946"/>
          </w:tcPr>
          <w:p>
            <w:pPr>
              <w:spacing w:after="0"/>
            </w:pPr>
            <w:r>
              <w:rPr>
                <w:b w:val="0"/>
                <w:sz w:val="19"/>
              </w:rPr>
              <w:t>Obtaining a signature on a revised IRB-approved consent form after new information or a study change.</w:t>
            </w:r>
          </w:p>
        </w:tc>
      </w:tr>
    </w:tbl>
    <w:p>
      <w:pPr>
        <w:spacing w:after="40"/>
      </w:pPr>
    </w:p>
    <w:p>
      <w:pPr>
        <w:pStyle w:val="Heading1"/>
      </w:pPr>
      <w:r>
        <w:t>5. Procedure</w:t>
      </w:r>
    </w:p>
    <w:p>
      <w:pPr>
        <w:pStyle w:val="Heading2"/>
      </w:pPr>
      <w:r>
        <w:t>5.1 Before the discussion</w:t>
      </w:r>
    </w:p>
    <w:p>
      <w:pPr>
        <w:tabs>
          <w:tab w:pos="648" w:val="left"/>
        </w:tabs>
        <w:ind w:left="648" w:hanging="648"/>
      </w:pPr>
      <w:r>
        <w:rPr>
          <w:b/>
        </w:rPr>
        <w:t>5.1.1</w:t>
        <w:tab/>
      </w:r>
      <w:r>
        <w:rPr>
          <w:b w:val="0"/>
        </w:rPr>
        <w:t>Consent is obtained before any study procedure, including procedures done only to check eligibility (research-only tests, imaging, questionnaires, medication washout). Procedures that are part of the person's normal care may be done without study consent and their results used if the protocol allows. A sponsor pre-screening procedure that is not standard of care (for example central biomarker testing of archived tissue) uses the IRB-approved pre-screening consent.</w:t>
      </w:r>
    </w:p>
    <w:p>
      <w:pPr>
        <w:tabs>
          <w:tab w:pos="648" w:val="left"/>
        </w:tabs>
        <w:ind w:left="648" w:hanging="648"/>
      </w:pPr>
      <w:r>
        <w:rPr>
          <w:b/>
        </w:rPr>
        <w:t>5.1.2</w:t>
        <w:tab/>
      </w:r>
      <w:r>
        <w:rPr>
          <w:b w:val="0"/>
        </w:rPr>
        <w:t>Only the PI, a Sub-I, or staff delegated "obtain informed consent" on F-302-01 conduct the discussion and sign as the person obtaining consent (ICH E6(R3) Annex 1, 2.8.5), and only where the IRB and sponsor permit the role. Before delegation, staff complete GCP, this SOP, study and consent-form training, platform training for eConsent, and the observed consents in SOP-01, 5.10.1.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which roles may obtain consent (for example investigators, CRCs, research nurses) and any studies or populations where only an investigator may: </w:t>
            </w:r>
            <w:r>
              <w:rPr>
                <w:b w:val="0"/>
                <w:sz w:val="20"/>
                <w:highlight w:val="yellow"/>
              </w:rPr>
              <w:t>[CONSENT ROLES AND INVESTIGATOR-ONLY STUDIES]</w:t>
            </w:r>
            <w:r>
              <w:rPr>
                <w:b w:val="0"/>
                <w:sz w:val="20"/>
              </w:rPr>
              <w:t>.</w:t>
            </w:r>
          </w:p>
        </w:tc>
      </w:tr>
    </w:tbl>
    <w:p>
      <w:pPr>
        <w:spacing w:after="0"/>
      </w:pPr>
    </w:p>
    <w:p>
      <w:pPr>
        <w:tabs>
          <w:tab w:pos="648" w:val="left"/>
        </w:tabs>
        <w:ind w:left="648" w:hanging="648"/>
      </w:pPr>
      <w:r>
        <w:rPr>
          <w:b/>
        </w:rPr>
        <w:t>5.1.3</w:t>
        <w:tab/>
      </w:r>
      <w:r>
        <w:rPr>
          <w:b w:val="0"/>
        </w:rPr>
        <w:t>Before each discussion, the person obtaining consent:</w:t>
      </w:r>
    </w:p>
    <w:p>
      <w:pPr>
        <w:pStyle w:val="ListBullet"/>
        <w:spacing w:after="40"/>
        <w:ind w:left="1008" w:hanging="259"/>
      </w:pPr>
      <w:r>
        <w:rPr>
          <w:b w:val="0"/>
        </w:rPr>
        <w:t>checks F-301-02 and confirms the form in hand or on the eConsent platform is the current IRB-approved version for this population and language, with all pages</w:t>
      </w:r>
    </w:p>
    <w:p>
      <w:pPr>
        <w:pStyle w:val="ListBullet"/>
        <w:spacing w:after="40"/>
        <w:ind w:left="1008" w:hanging="259"/>
      </w:pPr>
      <w:r>
        <w:rPr>
          <w:b w:val="0"/>
        </w:rPr>
        <w:t>confirms their own delegation for this study</w:t>
      </w:r>
    </w:p>
    <w:p>
      <w:pPr>
        <w:pStyle w:val="ListBullet"/>
        <w:spacing w:after="40"/>
        <w:ind w:left="1008" w:hanging="259"/>
      </w:pPr>
      <w:r>
        <w:rPr>
          <w:b w:val="0"/>
        </w:rPr>
        <w:t>arranges privacy and enough time, and gives the form in advance where possible</w:t>
      </w:r>
    </w:p>
    <w:p>
      <w:pPr>
        <w:pStyle w:val="ListBullet"/>
        <w:spacing w:after="40"/>
        <w:ind w:left="1008" w:hanging="259"/>
      </w:pPr>
      <w:r>
        <w:rPr>
          <w:b w:val="0"/>
        </w:rPr>
        <w:t>arranges an interpreter (5.8) or impartial witness (5.9) if needed</w:t>
      </w:r>
    </w:p>
    <w:p>
      <w:pPr>
        <w:pStyle w:val="ListBullet"/>
        <w:spacing w:after="40"/>
        <w:ind w:left="1008" w:hanging="259"/>
      </w:pPr>
      <w:r>
        <w:rPr>
          <w:b w:val="0"/>
        </w:rPr>
        <w:t>confirms an investigator is reachable in person, by phone or by video to answer medical questions; if none is available when a medical question arises, the discussion stops until one is</w:t>
      </w:r>
    </w:p>
    <w:p>
      <w:pPr>
        <w:tabs>
          <w:tab w:pos="648" w:val="left"/>
        </w:tabs>
        <w:ind w:left="648" w:hanging="648"/>
      </w:pPr>
      <w:r>
        <w:rPr>
          <w:b/>
        </w:rPr>
        <w:t>5.1.4</w:t>
        <w:tab/>
      </w:r>
      <w:r>
        <w:rPr>
          <w:b w:val="0"/>
        </w:rPr>
        <w:t>The person obtaining consent decides who gives consent:</w:t>
      </w:r>
    </w:p>
    <w:p>
      <w:pPr>
        <w:pStyle w:val="ListBullet"/>
        <w:spacing w:after="40"/>
        <w:ind w:left="1008" w:hanging="259"/>
      </w:pPr>
      <w:r>
        <w:rPr>
          <w:b w:val="0"/>
        </w:rPr>
        <w:t>an adult who has reached the Appendix A age of majority and can understand and choose consents for themself</w:t>
      </w:r>
    </w:p>
    <w:p>
      <w:pPr>
        <w:pStyle w:val="ListBullet"/>
        <w:spacing w:after="40"/>
        <w:ind w:left="1008" w:hanging="259"/>
      </w:pPr>
      <w:r>
        <w:rPr>
          <w:b w:val="0"/>
        </w:rPr>
        <w:t>if anyone has reason to doubt capacity (cognitive impairment, acute illness, intoxication, pain, distress, recent sedating medication), they stop and ask the PI or a Sub-I to assess it; the investigator records the assessment and result in source, using any IRB-approved tool</w:t>
      </w:r>
    </w:p>
    <w:p>
      <w:pPr>
        <w:pStyle w:val="ListBullet"/>
        <w:spacing w:after="40"/>
        <w:ind w:left="1008" w:hanging="259"/>
      </w:pPr>
      <w:r>
        <w:rPr>
          <w:b w:val="0"/>
        </w:rPr>
        <w:t>if incapacity is temporary, consent waits until capacity returns unless the protocol and IRB allow LAR consent</w:t>
      </w:r>
    </w:p>
    <w:p>
      <w:pPr>
        <w:pStyle w:val="ListBullet"/>
        <w:spacing w:after="40"/>
        <w:ind w:left="1008" w:hanging="259"/>
      </w:pPr>
      <w:r>
        <w:rPr>
          <w:b w:val="0"/>
        </w:rPr>
        <w:t>an adult who lacks capacity, or a child, follows 5.6 or 5.7</w:t>
      </w:r>
    </w:p>
    <w:p>
      <w:pPr>
        <w:pStyle w:val="Heading2"/>
      </w:pPr>
      <w:r>
        <w:t>5.2 During the discussion</w:t>
      </w:r>
    </w:p>
    <w:p>
      <w:pPr>
        <w:tabs>
          <w:tab w:pos="648" w:val="left"/>
        </w:tabs>
        <w:ind w:left="648" w:hanging="648"/>
      </w:pPr>
      <w:r>
        <w:rPr>
          <w:b/>
        </w:rPr>
        <w:t>5.2.1</w:t>
        <w:tab/>
      </w:r>
      <w:r>
        <w:rPr>
          <w:b w:val="0"/>
        </w:rPr>
        <w:t>The person obtaining consent explains the trial using the consent form, starting with the key information section where there is one, in plain language, covering:</w:t>
      </w:r>
    </w:p>
    <w:p>
      <w:pPr>
        <w:pStyle w:val="ListBullet"/>
        <w:spacing w:after="40"/>
        <w:ind w:left="1008" w:hanging="259"/>
      </w:pPr>
      <w:r>
        <w:rPr>
          <w:b w:val="0"/>
        </w:rPr>
        <w:t>that it is research, its purpose, and what is experimental</w:t>
      </w:r>
    </w:p>
    <w:p>
      <w:pPr>
        <w:pStyle w:val="ListBullet"/>
        <w:spacing w:after="40"/>
        <w:ind w:left="1008" w:hanging="259"/>
      </w:pPr>
      <w:r>
        <w:rPr>
          <w:b w:val="0"/>
        </w:rPr>
        <w:t>procedures, visits, duration and what is expected of the participant</w:t>
      </w:r>
    </w:p>
    <w:p>
      <w:pPr>
        <w:pStyle w:val="ListBullet"/>
        <w:spacing w:after="40"/>
        <w:ind w:left="1008" w:hanging="259"/>
      </w:pPr>
      <w:r>
        <w:rPr>
          <w:b w:val="0"/>
        </w:rPr>
        <w:t>foreseeable risks, including to a partner, embryo, fetus or nursing infant where relevant; possible benefits or none; alternatives, including not taking part</w:t>
      </w:r>
    </w:p>
    <w:p>
      <w:pPr>
        <w:pStyle w:val="ListBullet"/>
        <w:spacing w:after="40"/>
        <w:ind w:left="1008" w:hanging="259"/>
      </w:pPr>
      <w:r>
        <w:rPr>
          <w:b w:val="0"/>
        </w:rPr>
        <w:t>payment, costs and research-related injury; confidentiality and record access by the sponsor, monitors, IRB and FDA</w:t>
      </w:r>
    </w:p>
    <w:p>
      <w:pPr>
        <w:pStyle w:val="ListBullet"/>
        <w:spacing w:after="40"/>
        <w:ind w:left="1008" w:hanging="259"/>
      </w:pPr>
      <w:r>
        <w:rPr>
          <w:b w:val="0"/>
        </w:rPr>
        <w:t>that participation is voluntary and may stop at any time without penalty or loss of benefits, and what happens to data on withdrawal</w:t>
      </w:r>
    </w:p>
    <w:p>
      <w:pPr>
        <w:pStyle w:val="ListBullet"/>
        <w:spacing w:after="40"/>
        <w:ind w:left="1008" w:hanging="259"/>
      </w:pPr>
      <w:r>
        <w:rPr>
          <w:b w:val="0"/>
        </w:rPr>
        <w:t>whom to contact with questions about the study, their rights or an injury</w:t>
      </w:r>
    </w:p>
    <w:p>
      <w:pPr>
        <w:tabs>
          <w:tab w:pos="648" w:val="left"/>
        </w:tabs>
        <w:ind w:left="648" w:hanging="648"/>
      </w:pPr>
      <w:r>
        <w:rPr>
          <w:b/>
        </w:rPr>
        <w:t>5.2.2</w:t>
        <w:tab/>
      </w:r>
      <w:r>
        <w:rPr>
          <w:b w:val="0"/>
        </w:rPr>
        <w:t>Staff do not overstate benefits, minimize risks, call the IP treatment, coerce or unduly influence (21 CFR 50.20), or press for a same-day signature. A treating clinician states that declining will not affect usual care.</w:t>
      </w:r>
    </w:p>
    <w:p>
      <w:pPr>
        <w:tabs>
          <w:tab w:pos="648" w:val="left"/>
        </w:tabs>
        <w:ind w:left="648" w:hanging="648"/>
      </w:pPr>
      <w:r>
        <w:rPr>
          <w:b/>
        </w:rPr>
        <w:t>5.2.3</w:t>
        <w:tab/>
      </w:r>
      <w:r>
        <w:rPr>
          <w:b w:val="0"/>
        </w:rPr>
        <w:t>The person decides how much time they need and may take an unsigned copy home to discuss with family, friends or their own doctor. Any protocol-required interval before procedures is followed.</w:t>
      </w:r>
    </w:p>
    <w:p>
      <w:pPr>
        <w:tabs>
          <w:tab w:pos="648" w:val="left"/>
        </w:tabs>
        <w:ind w:left="648" w:hanging="648"/>
      </w:pPr>
      <w:r>
        <w:rPr>
          <w:b/>
        </w:rPr>
        <w:t>5.2.4</w:t>
        <w:tab/>
      </w:r>
      <w:r>
        <w:rPr>
          <w:b w:val="0"/>
        </w:rPr>
        <w:t>All questions are answered to the person's satisfaction; an investigator answers medical questions.</w:t>
      </w:r>
    </w:p>
    <w:p>
      <w:pPr>
        <w:tabs>
          <w:tab w:pos="648" w:val="left"/>
        </w:tabs>
        <w:ind w:left="648" w:hanging="648"/>
      </w:pPr>
      <w:r>
        <w:rPr>
          <w:b/>
        </w:rPr>
        <w:t>5.2.5</w:t>
        <w:tab/>
      </w:r>
      <w:r>
        <w:rPr>
          <w:b w:val="0"/>
        </w:rPr>
        <w:t>The person obtaining consent asks the person to explain in their own words the purpose, what will happen, the main risks, that they can stop at any time, and whom to call. Misunderstandings are corrected and checked again. If the person cannot show understanding of these points, consent is not obtained and the PI is told.</w:t>
      </w:r>
    </w:p>
    <w:p>
      <w:pPr>
        <w:tabs>
          <w:tab w:pos="648" w:val="left"/>
        </w:tabs>
        <w:ind w:left="648" w:hanging="648"/>
      </w:pPr>
      <w:r>
        <w:rPr>
          <w:b/>
        </w:rPr>
        <w:t>5.2.6</w:t>
        <w:tab/>
      </w:r>
      <w:r>
        <w:rPr>
          <w:b w:val="0"/>
        </w:rPr>
        <w:t>Optional parts (for example future-use specimens or genetic testing) are explained separately; declining them does not affect the main study, and the choice is recorded as the form directs.</w:t>
      </w:r>
    </w:p>
    <w:p>
      <w:pPr>
        <w:tabs>
          <w:tab w:pos="648" w:val="left"/>
        </w:tabs>
        <w:ind w:left="648" w:hanging="648"/>
      </w:pPr>
      <w:r>
        <w:rPr>
          <w:b/>
        </w:rPr>
        <w:t>5.2.7</w:t>
        <w:tab/>
      </w:r>
      <w:r>
        <w:rPr>
          <w:b w:val="0"/>
        </w:rPr>
        <w:t>Unless the IRB or a Privacy Board approved a waiver, the participant or LAR also signs a HIPAA authorization, combined with the consent or separate as the IRB approved (45 CFR 164.508). The person obtaining consent explains what PHI is used and disclosed, to whom, any expiry, and how to revoke in writing. Revocation is handled with withdrawal (SOP-10).</w:t>
      </w:r>
    </w:p>
    <w:p>
      <w:pPr>
        <w:pStyle w:val="Heading2"/>
      </w:pPr>
      <w:r>
        <w:t>5.3 Signatures, dates and copies</w:t>
      </w:r>
    </w:p>
    <w:p>
      <w:pPr>
        <w:tabs>
          <w:tab w:pos="648" w:val="left"/>
        </w:tabs>
        <w:ind w:left="648" w:hanging="648"/>
      </w:pPr>
      <w:r>
        <w:rPr>
          <w:b/>
        </w:rPr>
        <w:t>5.3.1</w:t>
        <w:tab/>
      </w:r>
      <w:r>
        <w:rPr>
          <w:b w:val="0"/>
        </w:rPr>
        <w:t>Consent is documented on the current IRB-approved form before participation, unless the IRB waived documentation (21 CFR 50.27(a)).</w:t>
      </w:r>
    </w:p>
    <w:p>
      <w:pPr>
        <w:tabs>
          <w:tab w:pos="648" w:val="left"/>
        </w:tabs>
        <w:ind w:left="648" w:hanging="648"/>
      </w:pPr>
      <w:r>
        <w:rPr>
          <w:b/>
        </w:rPr>
        <w:t>5.3.2</w:t>
        <w:tab/>
      </w:r>
      <w:r>
        <w:rPr>
          <w:b w:val="0"/>
        </w:rPr>
        <w:t>The participant or LAR personally signs and writes the date. Staff never write the participant's or LAR's date or complete any field assigned to them. Where the form asks for the time, or procedures follow the same day, the time is recorded to show consent came first.</w:t>
      </w:r>
    </w:p>
    <w:p>
      <w:pPr>
        <w:tabs>
          <w:tab w:pos="648" w:val="left"/>
        </w:tabs>
        <w:ind w:left="648" w:hanging="648"/>
      </w:pPr>
      <w:r>
        <w:rPr>
          <w:b/>
        </w:rPr>
        <w:t>5.3.3</w:t>
        <w:tab/>
      </w:r>
      <w:r>
        <w:rPr>
          <w:b w:val="0"/>
        </w:rPr>
        <w:t>The person who conducted the discussion signs and dates at the same session (for remote paper consent, on receipt of the signed form under 5.10.2), attesting that the information was accurately explained, apparently understood and freely agreed (ICH E6(R3) Annex 1, 2.8.7). Other signatures are added when required: investigator (site decision below), impartial witness (5.8, 5.9), parent or guardian and child (5.7), interpreter where the form has a line.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PI or a Sub-I must also sign each consent obtained by other staff and when (same day, before any study procedure, or within </w:t>
            </w:r>
            <w:r>
              <w:rPr>
                <w:b w:val="0"/>
                <w:sz w:val="20"/>
                <w:highlight w:val="yellow"/>
              </w:rPr>
              <w:t>[N]</w:t>
            </w:r>
            <w:r>
              <w:rPr>
                <w:b w:val="0"/>
                <w:sz w:val="20"/>
              </w:rPr>
              <w:t xml:space="preserve"> business days). Federal regulations do not require it; some IRBs and sponsors do: </w:t>
            </w:r>
            <w:r>
              <w:rPr>
                <w:b w:val="0"/>
                <w:sz w:val="20"/>
                <w:highlight w:val="yellow"/>
              </w:rPr>
              <w:t>[INVESTIGATOR CONSENT SIGNATURE RULE]</w:t>
            </w:r>
            <w:r>
              <w:rPr>
                <w:b w:val="0"/>
                <w:sz w:val="20"/>
              </w:rPr>
              <w:t>.</w:t>
            </w:r>
          </w:p>
        </w:tc>
      </w:tr>
    </w:tbl>
    <w:p>
      <w:pPr>
        <w:spacing w:after="0"/>
      </w:pPr>
    </w:p>
    <w:p>
      <w:pPr>
        <w:tabs>
          <w:tab w:pos="648" w:val="left"/>
        </w:tabs>
        <w:ind w:left="648" w:hanging="648"/>
      </w:pPr>
      <w:r>
        <w:rPr>
          <w:b/>
        </w:rPr>
        <w:t>5.3.4</w:t>
        <w:tab/>
      </w:r>
      <w:r>
        <w:rPr>
          <w:b w:val="0"/>
        </w:rPr>
        <w:t>Before the participant leaves, the person obtaining consent checks every page: signatures, dates, initials, checkboxes, option choices, version and required fields. A problem found then, before any study procedure, is fixed by the person whose entry it is with the current date, recorded on F-301-01, and is not a deviation. Anything found after a study procedure has started or the participant has left is a consent error (5.12).</w:t>
      </w:r>
    </w:p>
    <w:p>
      <w:pPr>
        <w:tabs>
          <w:tab w:pos="648" w:val="left"/>
        </w:tabs>
        <w:ind w:left="648" w:hanging="648"/>
      </w:pPr>
      <w:r>
        <w:rPr>
          <w:b/>
        </w:rPr>
        <w:t>5.3.5</w:t>
        <w:tab/>
      </w:r>
      <w:r>
        <w:rPr>
          <w:b w:val="0"/>
        </w:rPr>
        <w:t>The participant or LAR receives a copy of the signed form and other consent materials, paper or electronic, before participation (21 CFR 50.27(a); ICH E6(R3) Annex 1, 2.8.11).</w:t>
      </w:r>
    </w:p>
    <w:p>
      <w:pPr>
        <w:pStyle w:val="Heading2"/>
      </w:pPr>
      <w:r>
        <w:t>5.4 After the discussion</w:t>
      </w:r>
    </w:p>
    <w:p>
      <w:pPr>
        <w:tabs>
          <w:tab w:pos="648" w:val="left"/>
        </w:tabs>
        <w:ind w:left="648" w:hanging="648"/>
      </w:pPr>
      <w:r>
        <w:rPr>
          <w:b/>
        </w:rPr>
        <w:t>5.4.1</w:t>
        <w:tab/>
      </w:r>
      <w:r>
        <w:rPr>
          <w:b w:val="0"/>
        </w:rPr>
        <w:t>The person who obtained consent completes F-301-01 Informed Consent Process Note at the time, for every consent and re-consent, and before any study procedure that day. A source note with the same content may be used instead.</w:t>
      </w:r>
    </w:p>
    <w:p>
      <w:pPr>
        <w:tabs>
          <w:tab w:pos="648" w:val="left"/>
        </w:tabs>
        <w:ind w:left="648" w:hanging="648"/>
      </w:pPr>
      <w:r>
        <w:rPr>
          <w:b/>
        </w:rPr>
        <w:t>5.4.2</w:t>
        <w:tab/>
      </w:r>
      <w:r>
        <w:rPr>
          <w:b w:val="0"/>
        </w:rPr>
        <w:t>The original is filed in the participant's research record, or kept in the eConsent platform with a certified copy or access arrangement (SOP-12). The case history documents that consent was obtained before participation (21 CFR 312.62(b); 812.140(a)(3)). Where the site keeps the medical record, enrollment is noted there (SOP-07).</w:t>
      </w:r>
    </w:p>
    <w:p>
      <w:pPr>
        <w:tabs>
          <w:tab w:pos="648" w:val="left"/>
        </w:tabs>
        <w:ind w:left="648" w:hanging="648"/>
      </w:pPr>
      <w:r>
        <w:rPr>
          <w:b/>
        </w:rPr>
        <w:t>5.4.3</w:t>
        <w:tab/>
      </w:r>
      <w:r>
        <w:rPr>
          <w:b w:val="0"/>
        </w:rPr>
        <w:t>At each visit staff confirm and note that the participant still wishes to take part.</w:t>
      </w:r>
    </w:p>
    <w:p>
      <w:pPr>
        <w:tabs>
          <w:tab w:pos="648" w:val="left"/>
        </w:tabs>
        <w:ind w:left="648" w:hanging="648"/>
      </w:pPr>
      <w:r>
        <w:rPr>
          <w:b/>
        </w:rPr>
        <w:t>5.4.4</w:t>
        <w:tab/>
      </w:r>
      <w:r>
        <w:rPr>
          <w:b/>
        </w:rPr>
        <w:t>Consent QC.</w:t>
      </w:r>
      <w:r>
        <w:rPr>
          <w:b w:val="0"/>
        </w:rPr>
        <w:t xml:space="preserve"> A trained reviewer who did not obtain the consent (a second consenter, an investigator or the Quality Lead) reviews the signed form and F-301-01 against F-301-02 and records the review on F-301-01. Sampling, timing, reset and the one-person fallback are set once in SOP-14, 5.3 and 5.4.2: the first 3 consents by each consenter in each study and the first 3 of each re-consent wave, within 1 business day of signature and before randomization or first dose where that comes first; then 1 in 5, within 1 business day of signature; any error returns that consenter, in that study, to review of every consent for the next 3.</w:t>
      </w:r>
    </w:p>
    <w:p>
      <w:pPr>
        <w:pStyle w:val="Heading2"/>
      </w:pPr>
      <w:r>
        <w:t>5.5 Consent materials and version control</w:t>
      </w:r>
    </w:p>
    <w:p>
      <w:pPr>
        <w:tabs>
          <w:tab w:pos="648" w:val="left"/>
        </w:tabs>
        <w:ind w:left="648" w:hanging="648"/>
      </w:pPr>
      <w:r>
        <w:rPr>
          <w:b/>
        </w:rPr>
        <w:t>5.5.1</w:t>
        <w:tab/>
      </w:r>
      <w:r>
        <w:rPr>
          <w:b w:val="0"/>
        </w:rPr>
        <w:t>All consent materials have IRB approval before use (21 CFR 50.27(a)). Required elements are set by 21 CFR 50.25 and ICH E6(R3) Annex 1, 2.8.10. The Regulatory Coordinator checks site-specific fields (site name, contacts, payment, costs, injury language, state-required statements) before submission (SOP-03). Consent materials contain no language waiving or appearing to waive participant rights or releasing anyone from liability for negligence (21 CFR 50.20).</w:t>
      </w:r>
    </w:p>
    <w:p>
      <w:pPr>
        <w:tabs>
          <w:tab w:pos="648" w:val="left"/>
        </w:tabs>
        <w:ind w:left="648" w:hanging="648"/>
      </w:pPr>
      <w:r>
        <w:rPr>
          <w:b/>
        </w:rPr>
        <w:t>5.5.2</w:t>
        <w:tab/>
      </w:r>
      <w:r>
        <w:rPr>
          <w:b w:val="0"/>
        </w:rPr>
        <w:t>When a version is approved, the Regulatory Coordinator records it on F-301-02 (population, language, version, approval and release dates, version superseded, who must re-consent, eConsent platform check, date consenters were told).</w:t>
      </w:r>
    </w:p>
    <w:p>
      <w:pPr>
        <w:tabs>
          <w:tab w:pos="648" w:val="left"/>
        </w:tabs>
        <w:ind w:left="648" w:hanging="648"/>
      </w:pPr>
      <w:r>
        <w:rPr>
          <w:b/>
        </w:rPr>
        <w:t>5.5.3</w:t>
        <w:tab/>
      </w:r>
      <w:r>
        <w:rPr>
          <w:b w:val="0"/>
        </w:rPr>
        <w:t>On release, the Regulatory Coordinator withdraws superseded versions under SOP-03, 5.2.6, including from the eConsent platform. State-required documents (for example California's Experimental Subject's Bill of Rights) are listed in Appendix A and the study consent checklist.</w:t>
      </w:r>
    </w:p>
    <w:p>
      <w:pPr>
        <w:pStyle w:val="Heading2"/>
      </w:pPr>
      <w:r>
        <w:t>5.6 LAR consent and capacity</w:t>
      </w:r>
    </w:p>
    <w:p>
      <w:pPr>
        <w:tabs>
          <w:tab w:pos="648" w:val="left"/>
        </w:tabs>
        <w:ind w:left="648" w:hanging="648"/>
      </w:pPr>
      <w:r>
        <w:rPr>
          <w:b/>
        </w:rPr>
        <w:t>5.6.1</w:t>
        <w:tab/>
      </w:r>
      <w:r>
        <w:rPr>
          <w:b w:val="0"/>
        </w:rPr>
        <w:t>An LAR consents for an adult only when the IRB has approved enrolling adults who cannot consent, the person qualifies under the law of the state where the research takes place (Appendix A and IRB policy), and the person obtaining consent has recorded the basis of authority (health care power of attorney, guardianship or state surrogate rules) and filed any document relied on.</w:t>
      </w:r>
    </w:p>
    <w:p>
      <w:pPr>
        <w:tabs>
          <w:tab w:pos="648" w:val="left"/>
        </w:tabs>
        <w:ind w:left="648" w:hanging="648"/>
      </w:pPr>
      <w:r>
        <w:rPr>
          <w:b/>
        </w:rPr>
        <w:t>5.6.2</w:t>
        <w:tab/>
      </w:r>
      <w:r>
        <w:rPr>
          <w:b w:val="0"/>
        </w:rPr>
        <w:t>Treatment consent laws (for incapacitated adults, or minors consenting for pregnancy, STI or substance use treatment) do not apply to research unless state law and the IRB extend them. Use only what Appendix A and the IRB say for research.</w:t>
      </w:r>
    </w:p>
    <w:p>
      <w:pPr>
        <w:tabs>
          <w:tab w:pos="648" w:val="left"/>
        </w:tabs>
        <w:ind w:left="648" w:hanging="648"/>
      </w:pPr>
      <w:r>
        <w:rPr>
          <w:b/>
        </w:rPr>
        <w:t>5.6.3</w:t>
        <w:tab/>
      </w:r>
      <w:r>
        <w:rPr>
          <w:b w:val="0"/>
        </w:rPr>
        <w:t>The participant is still informed in a way they can understand and, if capable, signs as the IRB requires (ICH E6(R3) Annex 1, 2.8.13). Their objection is respected as the IRB-approved process requires.</w:t>
      </w:r>
    </w:p>
    <w:p>
      <w:pPr>
        <w:tabs>
          <w:tab w:pos="648" w:val="left"/>
        </w:tabs>
        <w:ind w:left="648" w:hanging="648"/>
      </w:pPr>
      <w:r>
        <w:rPr>
          <w:b/>
        </w:rPr>
        <w:t>5.6.4</w:t>
        <w:tab/>
      </w:r>
      <w:r>
        <w:rPr>
          <w:b w:val="0"/>
        </w:rPr>
        <w:t>When an LAR-consented participant regains capacity, they are asked for their own consent on the IRB-approved form as soon as practical; if they decline, they are withdrawn (SOP-10). A new LAR's authority is verified, and their consent obtained if the IRB requires.</w:t>
      </w:r>
    </w:p>
    <w:p>
      <w:pPr>
        <w:pStyle w:val="Heading2"/>
      </w:pPr>
      <w:r>
        <w:t>5.7 Children</w:t>
      </w:r>
    </w:p>
    <w:p>
      <w:pPr>
        <w:tabs>
          <w:tab w:pos="648" w:val="left"/>
        </w:tabs>
        <w:ind w:left="648" w:hanging="648"/>
      </w:pPr>
      <w:r>
        <w:rPr>
          <w:b/>
        </w:rPr>
        <w:t>5.7.1</w:t>
        <w:tab/>
      </w:r>
      <w:r>
        <w:rPr>
          <w:b w:val="0"/>
        </w:rPr>
        <w:t>Children are enrolled only when the IRB has approved the study under 21 CFR 50 Subpart D and determined whether one or both parents must give permission (21 CFR 50.55(e)) and whether, at which ages and how assent is obtained and documented (50.55(g)). A guardian gives permission only if authorized under state law to consent to the child's general medical care (21 CFR 50.3(s); Appendix A). Wards are enrolled only under 21 CFR 50.56 and the IRB.</w:t>
      </w:r>
    </w:p>
    <w:p>
      <w:pPr>
        <w:tabs>
          <w:tab w:pos="648" w:val="left"/>
        </w:tabs>
        <w:ind w:left="648" w:hanging="648"/>
      </w:pPr>
      <w:r>
        <w:rPr>
          <w:b/>
        </w:rPr>
        <w:t>5.7.2</w:t>
        <w:tab/>
      </w:r>
      <w:r>
        <w:rPr>
          <w:b w:val="0"/>
        </w:rPr>
        <w:t>The person obtaining consent obtains permission on the IRB-approved form, then discusses the trial with the child in age-appropriate terms using approved assent materials and obtains assent where required (ICH E6(R3) Annex 1, 2.8.12). A child's refusal is respected unless the IRB determined assent is not required.</w:t>
      </w:r>
    </w:p>
    <w:p>
      <w:pPr>
        <w:tabs>
          <w:tab w:pos="648" w:val="left"/>
        </w:tabs>
        <w:ind w:left="648" w:hanging="648"/>
      </w:pPr>
      <w:r>
        <w:rPr>
          <w:b/>
        </w:rPr>
        <w:t>5.7.3</w:t>
        <w:tab/>
      </w:r>
      <w:r>
        <w:rPr>
          <w:b w:val="0"/>
        </w:rPr>
        <w:t>The CRC tracks birthdays of enrolled minors on F-301-02 or the study tracker. When a child reaches the Appendix A age of majority, they consent on the adult form before further study procedures, unless the IRB determined otherwise.</w:t>
      </w:r>
    </w:p>
    <w:p>
      <w:pPr>
        <w:pStyle w:val="Heading2"/>
      </w:pPr>
      <w:r>
        <w:t>5.8 People who prefer a language other than English</w:t>
      </w:r>
    </w:p>
    <w:p>
      <w:pPr>
        <w:tabs>
          <w:tab w:pos="648" w:val="left"/>
        </w:tabs>
        <w:ind w:left="648" w:hanging="648"/>
      </w:pPr>
      <w:r>
        <w:rPr>
          <w:b/>
        </w:rPr>
        <w:t>5.8.1</w:t>
        <w:tab/>
      </w:r>
      <w:r>
        <w:rPr>
          <w:b w:val="0"/>
        </w:rPr>
        <w:t>The preferred method is a full IRB-approved translated consent form, with a qualified interpreter when the person obtaining consent does not speak the language. Family members, and especially minors, should not interpret. Ad hoc oral translation of the English form without a short form is not used.</w:t>
      </w:r>
    </w:p>
    <w:p>
      <w:pPr>
        <w:tabs>
          <w:tab w:pos="648" w:val="left"/>
        </w:tabs>
        <w:ind w:left="648" w:hanging="648"/>
      </w:pPr>
      <w:r>
        <w:rPr>
          <w:b/>
        </w:rPr>
        <w:t>5.8.2</w:t>
        <w:tab/>
      </w:r>
      <w:r>
        <w:rPr>
          <w:b w:val="0"/>
        </w:rPr>
        <w:t>Where no translated form exists and the IRB permits, the short form method is used (21 CFR 50.27(b)(2)):</w:t>
      </w:r>
    </w:p>
    <w:p>
      <w:pPr>
        <w:pStyle w:val="ListBullet"/>
        <w:spacing w:after="40"/>
        <w:ind w:left="1008" w:hanging="259"/>
      </w:pPr>
      <w:r>
        <w:rPr>
          <w:b w:val="0"/>
        </w:rPr>
        <w:t>the IRB has approved the English summary (normally the English consent form) and the short form in the person's language</w:t>
      </w:r>
    </w:p>
    <w:p>
      <w:pPr>
        <w:pStyle w:val="ListBullet"/>
        <w:spacing w:after="40"/>
        <w:ind w:left="1008" w:hanging="259"/>
      </w:pPr>
      <w:r>
        <w:rPr>
          <w:b w:val="0"/>
        </w:rPr>
        <w:t>a qualified interpreter presents the summary orally</w:t>
      </w:r>
    </w:p>
    <w:p>
      <w:pPr>
        <w:pStyle w:val="ListBullet"/>
        <w:spacing w:after="40"/>
        <w:ind w:left="1008" w:hanging="259"/>
      </w:pPr>
      <w:r>
        <w:rPr>
          <w:b w:val="0"/>
        </w:rPr>
        <w:t>a witness attends the whole presentation, conversant in English and the person's language; FDA's 2023 guidance recommends an impartial third party, and an interpreter may be the witness if the IRB permits</w:t>
      </w:r>
    </w:p>
    <w:p>
      <w:pPr>
        <w:pStyle w:val="ListBullet"/>
        <w:spacing w:after="40"/>
        <w:ind w:left="1008" w:hanging="259"/>
      </w:pPr>
      <w:r>
        <w:rPr>
          <w:b w:val="0"/>
        </w:rPr>
        <w:t>the participant or LAR signs and dates the short form only; the witness signs the short form and a copy of the summary; the person obtaining consent signs a copy of the summary</w:t>
      </w:r>
    </w:p>
    <w:p>
      <w:pPr>
        <w:pStyle w:val="ListBullet"/>
        <w:spacing w:after="40"/>
        <w:ind w:left="1008" w:hanging="259"/>
      </w:pPr>
      <w:r>
        <w:rPr>
          <w:b w:val="0"/>
        </w:rPr>
        <w:t>the participant or LAR receives copies of both</w:t>
      </w:r>
    </w:p>
    <w:p>
      <w:pPr>
        <w:tabs>
          <w:tab w:pos="648" w:val="left"/>
        </w:tabs>
        <w:ind w:left="648" w:hanging="648"/>
      </w:pPr>
      <w:r>
        <w:rPr>
          <w:b/>
        </w:rPr>
        <w:t>5.8.3</w:t>
        <w:tab/>
      </w:r>
      <w:r>
        <w:rPr>
          <w:b w:val="0"/>
        </w:rPr>
        <w:t>IRB limits on short forms are recorded in the study consent checklist. An interpreter is arranged for later visits, calls and new information.</w:t>
      </w:r>
    </w:p>
    <w:p>
      <w:pPr>
        <w:pStyle w:val="Heading2"/>
      </w:pPr>
      <w:r>
        <w:t>5.9 People who cannot read or cannot sign</w:t>
      </w:r>
    </w:p>
    <w:p>
      <w:pPr>
        <w:tabs>
          <w:tab w:pos="648" w:val="left"/>
        </w:tabs>
        <w:ind w:left="648" w:hanging="648"/>
      </w:pPr>
      <w:r>
        <w:rPr>
          <w:b/>
        </w:rPr>
        <w:t>5.9.1</w:t>
        <w:tab/>
      </w:r>
      <w:r>
        <w:rPr>
          <w:b w:val="0"/>
        </w:rPr>
        <w:t>If the participant or LAR cannot read, an impartial witness attends the whole discussion, in person or remotely. The form is read aloud and explained. After oral agreement and, if able, the person's own signature and date, the witness signs and dates, attesting that the information was accurately explained, apparently understood and freely given (ICH E6(R3) Annex 1, 2.8.9; 21 CFR 50.27(b)(1)).</w:t>
      </w:r>
    </w:p>
    <w:p>
      <w:pPr>
        <w:tabs>
          <w:tab w:pos="648" w:val="left"/>
        </w:tabs>
        <w:ind w:left="648" w:hanging="648"/>
      </w:pPr>
      <w:r>
        <w:rPr>
          <w:b/>
        </w:rPr>
        <w:t>5.9.2</w:t>
        <w:tab/>
      </w:r>
      <w:r>
        <w:rPr>
          <w:b w:val="0"/>
        </w:rPr>
        <w:t>Study team members are not impartial witnesses; uninvolved clinic staff or a patient advocate may serve, and a family member or friend only if the IRB permits.</w:t>
      </w:r>
    </w:p>
    <w:p>
      <w:pPr>
        <w:tabs>
          <w:tab w:pos="648" w:val="left"/>
        </w:tabs>
        <w:ind w:left="648" w:hanging="648"/>
      </w:pPr>
      <w:r>
        <w:rPr>
          <w:b/>
        </w:rPr>
        <w:t>5.9.3</w:t>
        <w:tab/>
      </w:r>
      <w:r>
        <w:rPr>
          <w:b w:val="0"/>
        </w:rPr>
        <w:t>A person who can consent but cannot physically sign follows the IRB's procedure (for example a mark, or an LAR signing at their direction with a witness), recorded on F-301-01.</w:t>
      </w:r>
    </w:p>
    <w:p>
      <w:pPr>
        <w:pStyle w:val="Heading2"/>
      </w:pPr>
      <w:r>
        <w:t>5.10 Remote consent and eConsent</w:t>
      </w:r>
    </w:p>
    <w:p>
      <w:pPr>
        <w:tabs>
          <w:tab w:pos="648" w:val="left"/>
        </w:tabs>
        <w:ind w:left="648" w:hanging="648"/>
      </w:pPr>
      <w:r>
        <w:rPr>
          <w:b/>
        </w:rPr>
        <w:t>5.10.1</w:t>
        <w:tab/>
      </w:r>
      <w:r>
        <w:rPr>
          <w:b w:val="0"/>
        </w:rPr>
        <w:t>Remote consent (phone or video) and eConsent are used only when the IRB has approved the method for the study (ICH E6(R3) Annex 1, 2.8.1). A remote discussion is a full discussion under 5.2; it is not a waiver of consent or documentation, which only the IRB can grant (21 CFR 56.109(c)).</w:t>
      </w:r>
    </w:p>
    <w:p>
      <w:pPr>
        <w:tabs>
          <w:tab w:pos="648" w:val="left"/>
        </w:tabs>
        <w:ind w:left="648" w:hanging="648"/>
      </w:pPr>
      <w:r>
        <w:rPr>
          <w:b/>
        </w:rPr>
        <w:t>5.10.2</w:t>
        <w:tab/>
      </w:r>
      <w:r>
        <w:rPr>
          <w:b w:val="0"/>
        </w:rPr>
        <w:t>For remote consent on paper, the CRC sends the current form in advance, holds the discussion while the person has the form, and verifies identity (5.10.4). The person signs, dates and returns it; the person obtaining consent then signs with the actual date. F-301-01 records the discussion, signature and receipt dates. No study procedure happens until the site has the signed form.</w:t>
      </w:r>
    </w:p>
    <w:p>
      <w:pPr>
        <w:tabs>
          <w:tab w:pos="648" w:val="left"/>
        </w:tabs>
        <w:ind w:left="648" w:hanging="648"/>
      </w:pPr>
      <w:r>
        <w:rPr>
          <w:b/>
        </w:rPr>
        <w:t>5.10.3</w:t>
        <w:tab/>
      </w:r>
      <w:r>
        <w:rPr>
          <w:b w:val="0"/>
        </w:rPr>
        <w:t xml:space="preserve">eConsent uses </w:t>
      </w:r>
      <w:r>
        <w:rPr>
          <w:b w:val="0"/>
          <w:highlight w:val="green"/>
        </w:rPr>
        <w:t>[DEFAULT: the sponsor-provided platform for each study, qualified by the sponsor's documentation]</w:t>
      </w:r>
      <w:r>
        <w:rPr>
          <w:b w:val="0"/>
        </w:rPr>
        <w:t>. All content shown to participants is IRB-approved. The platform meets 21 CFR 11, links each signature to a unique person with printed name, date, time and meaning (21 CFR 11.50, 11.70, 11.100), records the version signed and gives the participant a copy. A paper alternative is offered where the IRB permits and used during outages; it must match the eConsent version in use.</w:t>
      </w:r>
    </w:p>
    <w:p>
      <w:pPr>
        <w:tabs>
          <w:tab w:pos="648" w:val="left"/>
        </w:tabs>
        <w:ind w:left="648" w:hanging="648"/>
      </w:pPr>
      <w:r>
        <w:rPr>
          <w:b/>
        </w:rPr>
        <w:t>5.10.4</w:t>
        <w:tab/>
      </w:r>
      <w:r>
        <w:rPr>
          <w:b w:val="0"/>
        </w:rPr>
        <w:t>For every consent, in person or remote, the person obtaining consent verifies the identity of the participant or LAR against a government-issued photo ID, seen in person or on camera, or by another IRB-approved method, and records the method on F-301-01 (ICH E6(R3) Annex 1, 2.8.1(e)). The ID image is not copied unless the protocol or IRB requires it. This is the site's single identity-verification rule; SOP-M4 (if adopted) points to it.</w:t>
      </w:r>
    </w:p>
    <w:p>
      <w:pPr>
        <w:tabs>
          <w:tab w:pos="648" w:val="left"/>
        </w:tabs>
        <w:ind w:left="648" w:hanging="648"/>
      </w:pPr>
      <w:r>
        <w:rPr>
          <w:b/>
        </w:rPr>
        <w:t>5.10.5</w:t>
        <w:tab/>
      </w:r>
      <w:r>
        <w:rPr>
          <w:b w:val="0"/>
        </w:rPr>
        <w:t>Where the participant or LAR is in another state, the IRB decides which state's law governs LAR authority, age of majority and required documents, recorded in the study consent checklist. Local healthcare providers at a home visit do not obtain consent (SOP-M4, if adopted).</w:t>
      </w:r>
    </w:p>
    <w:p>
      <w:pPr>
        <w:pStyle w:val="Heading2"/>
      </w:pPr>
      <w:r>
        <w:t>5.11 New information and re-consent</w:t>
      </w:r>
    </w:p>
    <w:p>
      <w:pPr>
        <w:tabs>
          <w:tab w:pos="648" w:val="left"/>
        </w:tabs>
        <w:ind w:left="648" w:hanging="648"/>
      </w:pPr>
      <w:r>
        <w:rPr>
          <w:b/>
        </w:rPr>
        <w:t>5.11.1</w:t>
        <w:tab/>
      </w:r>
      <w:r>
        <w:rPr>
          <w:b w:val="0"/>
        </w:rPr>
        <w:t xml:space="preserve">New information that may affect willingness to continue is given to the participant or LAR at the next contact and no later than </w:t>
      </w:r>
      <w:r>
        <w:rPr>
          <w:b w:val="0"/>
          <w:highlight w:val="green"/>
        </w:rPr>
        <w:t>[DEFAULT: 10 business days]</w:t>
      </w:r>
      <w:r>
        <w:rPr>
          <w:b w:val="0"/>
        </w:rPr>
        <w:t xml:space="preserve"> after the site receives it or after IRB approval of the communication, sooner if the IRB, sponsor or PI directs. The communication and the participant's decision are documented (21 CFR 50.25(b)(5); ICH E6(R3) Annex 1, 2.8.2). Urgent safety information is given by phone or at the next contact without waiting for a revised form, using any approved communication. Reportable new information is assessed under SOP-09.</w:t>
      </w:r>
    </w:p>
    <w:p>
      <w:pPr>
        <w:tabs>
          <w:tab w:pos="648" w:val="left"/>
        </w:tabs>
        <w:ind w:left="648" w:hanging="648"/>
      </w:pPr>
      <w:r>
        <w:rPr>
          <w:b/>
        </w:rPr>
        <w:t>5.11.2</w:t>
        <w:tab/>
      </w:r>
      <w:r>
        <w:rPr>
          <w:b w:val="0"/>
        </w:rPr>
        <w:t>When a revised form is approved, the Regulatory Coordinator records on F-301-02 which participants must re-consent, as the IRB and sponsor direct. The CRC re-consents each at their next visit or sooner if directed, following 5.1 to 5.4, tracks completion, and reports anyone not re-consented in time to the PI.</w:t>
      </w:r>
    </w:p>
    <w:p>
      <w:pPr>
        <w:pStyle w:val="Heading2"/>
      </w:pPr>
      <w:r>
        <w:t>5.12 Consent errors</w:t>
      </w:r>
    </w:p>
    <w:p>
      <w:pPr>
        <w:tabs>
          <w:tab w:pos="648" w:val="left"/>
        </w:tabs>
        <w:ind w:left="648" w:hanging="648"/>
      </w:pPr>
      <w:r>
        <w:rPr>
          <w:b/>
        </w:rPr>
        <w:t>5.12.1</w:t>
        <w:tab/>
      </w:r>
      <w:r>
        <w:rPr>
          <w:b w:val="0"/>
        </w:rPr>
        <w:t>A consent error is a defect found after a study procedure started or the participant left, for example: wrong or superseded version; missing or wrong signature, date or page; LAR or parent without verified authority; procedure before consent; consent by someone not delegated; missing witness or interpreter; participant date written by staff.</w:t>
      </w:r>
    </w:p>
    <w:p>
      <w:pPr>
        <w:tabs>
          <w:tab w:pos="648" w:val="left"/>
        </w:tabs>
        <w:ind w:left="648" w:hanging="648"/>
      </w:pPr>
      <w:r>
        <w:rPr>
          <w:b/>
        </w:rPr>
        <w:t>5.12.2</w:t>
        <w:tab/>
      </w:r>
      <w:r>
        <w:rPr>
          <w:b w:val="0"/>
        </w:rPr>
        <w:t>The finder tells the PI and Regulatory Coordinator the same day. The PI assesses the effect on rights and safety and decides corrective action. The CRC records a protocol deviation on F-308-01 and reports it to the sponsor (SOP-08). The Regulatory Coordinator assesses IRB reportability on F-502-01 and reports within the IRB's window (SOP-09).</w:t>
      </w:r>
    </w:p>
    <w:p>
      <w:pPr>
        <w:tabs>
          <w:tab w:pos="648" w:val="left"/>
        </w:tabs>
        <w:ind w:left="648" w:hanging="648"/>
      </w:pPr>
      <w:r>
        <w:rPr>
          <w:b/>
        </w:rPr>
        <w:t>5.12.3</w:t>
        <w:tab/>
      </w:r>
      <w:r>
        <w:rPr>
          <w:b w:val="0"/>
        </w:rPr>
        <w:t>Errors are never corrected by backdating:</w:t>
      </w:r>
    </w:p>
    <w:p>
      <w:pPr>
        <w:pStyle w:val="ListBullet"/>
        <w:spacing w:after="40"/>
        <w:ind w:left="1008" w:hanging="259"/>
      </w:pPr>
      <w:r>
        <w:rPr>
          <w:b w:val="0"/>
        </w:rPr>
        <w:t>a late signature or date carries the actual date it is written, with the reason recorded on F-306-01</w:t>
      </w:r>
    </w:p>
    <w:p>
      <w:pPr>
        <w:pStyle w:val="ListBullet"/>
        <w:spacing w:after="40"/>
        <w:ind w:left="1008" w:hanging="259"/>
      </w:pPr>
      <w:r>
        <w:rPr>
          <w:b w:val="0"/>
        </w:rPr>
        <w:t>after a wrong-version signature, the participant is consented on the current version at the earliest opportunity, and the original form is kept</w:t>
      </w:r>
    </w:p>
    <w:p>
      <w:pPr>
        <w:pStyle w:val="ListBullet"/>
        <w:spacing w:after="40"/>
        <w:ind w:left="1008" w:hanging="259"/>
      </w:pPr>
      <w:r>
        <w:rPr>
          <w:b w:val="0"/>
        </w:rPr>
        <w:t>after a procedure before consent, consent is obtained before any further procedure, and the sponsor and IRB decide whether the earlier data may be used</w:t>
      </w:r>
    </w:p>
    <w:p>
      <w:pPr>
        <w:tabs>
          <w:tab w:pos="648" w:val="left"/>
        </w:tabs>
        <w:ind w:left="648" w:hanging="648"/>
      </w:pPr>
      <w:r>
        <w:rPr>
          <w:b/>
        </w:rPr>
        <w:t>5.12.4</w:t>
        <w:tab/>
      </w:r>
      <w:r>
        <w:rPr>
          <w:b w:val="0"/>
        </w:rPr>
        <w:t>Corrections use a single line through the error, the correct entry, and the initials and current date of the person who made the original entry. Only the participant or LAR corrects their own entries.</w:t>
      </w:r>
    </w:p>
    <w:p>
      <w:pPr>
        <w:tabs>
          <w:tab w:pos="648" w:val="left"/>
        </w:tabs>
        <w:ind w:left="648" w:hanging="648"/>
      </w:pPr>
      <w:r>
        <w:rPr>
          <w:b/>
        </w:rPr>
        <w:t>5.12.5</w:t>
        <w:tab/>
      </w:r>
      <w:r>
        <w:rPr>
          <w:b w:val="0"/>
        </w:rPr>
        <w:t>Consent errors are reviewed in the quarterly quality review (SOP-14); the Quality Lead opens a CAPA for any important consent deviation or recurring error (SOP-08).</w:t>
      </w:r>
    </w:p>
    <w:p>
      <w:pPr>
        <w:pStyle w:val="Heading2"/>
      </w:pPr>
      <w:r>
        <w:t>5.13 Waivers, exceptions and prisoners</w:t>
      </w:r>
    </w:p>
    <w:p>
      <w:pPr>
        <w:tabs>
          <w:tab w:pos="648" w:val="left"/>
        </w:tabs>
        <w:ind w:left="648" w:hanging="648"/>
      </w:pPr>
      <w:r>
        <w:rPr>
          <w:b/>
        </w:rPr>
        <w:t>5.13.1</w:t>
        <w:tab/>
      </w:r>
      <w:r>
        <w:rPr>
          <w:b w:val="0"/>
        </w:rPr>
        <w:t>Only the IRB may waive or alter consent or its documentation; staff never decide consent is not needed. For FDA-regulated research the IRB may waive or alter consent for minimal-risk investigations meeting 21 CFR 50.22, or waive documentation under 21 CFR 56.109(c). Any waiver and its scope is recorded in the study consent checklist.</w:t>
      </w:r>
    </w:p>
    <w:p>
      <w:pPr>
        <w:tabs>
          <w:tab w:pos="648" w:val="left"/>
        </w:tabs>
        <w:ind w:left="648" w:hanging="648"/>
      </w:pPr>
      <w:r>
        <w:rPr>
          <w:b/>
        </w:rPr>
        <w:t>5.13.2</w:t>
        <w:tab/>
      </w:r>
      <w:r>
        <w:rPr>
          <w:b w:val="0"/>
        </w:rPr>
        <w:t>Emergency research without consent (21 CFR 50.24) is done only under a separate IND or IDE that permits it and IRB approval, following the protocol's procedures for contacting the LAR or family and informing the participant.</w:t>
      </w:r>
    </w:p>
    <w:p>
      <w:pPr>
        <w:tabs>
          <w:tab w:pos="648" w:val="left"/>
        </w:tabs>
        <w:ind w:left="648" w:hanging="648"/>
      </w:pPr>
      <w:r>
        <w:rPr>
          <w:b/>
        </w:rPr>
        <w:t>5.13.3</w:t>
        <w:tab/>
      </w:r>
      <w:r>
        <w:rPr>
          <w:b w:val="0"/>
        </w:rPr>
        <w:t>Use of a test article without consent in a life-threatening situation (21 CFR 50.23) needs prior written certification by the investigator and an uninvolved physician, or, if time does not allow, that physician's written review within 5 working days after use; the documentation goes to the IRB within 5 working days after use. The PI decides and notifies the sponsor.</w:t>
      </w:r>
    </w:p>
    <w:p>
      <w:pPr>
        <w:tabs>
          <w:tab w:pos="648" w:val="left"/>
        </w:tabs>
        <w:ind w:left="648" w:hanging="648"/>
      </w:pPr>
      <w:r>
        <w:rPr>
          <w:b/>
        </w:rPr>
        <w:t>5.13.4</w:t>
        <w:tab/>
      </w:r>
      <w:r>
        <w:rPr>
          <w:b w:val="0"/>
        </w:rPr>
        <w:t>If a participant is or becomes a prisoner, the CRC tells the PI and the Regulatory Coordinator contacts the IRB before any further study procedure other than those needed for safety.</w:t>
      </w:r>
    </w:p>
    <w:p>
      <w:pPr>
        <w:pStyle w:val="Heading1"/>
      </w:pPr>
      <w:r>
        <w:t>6. Related Forms and SOPs</w:t>
      </w:r>
    </w:p>
    <w:p>
      <w:pPr>
        <w:pStyle w:val="ListBullet"/>
        <w:spacing w:after="40"/>
        <w:ind w:left="360" w:hanging="259"/>
      </w:pPr>
      <w:r>
        <w:rPr>
          <w:b w:val="0"/>
        </w:rPr>
        <w:t>F-301-01 Informed Consent Process Note</w:t>
      </w:r>
    </w:p>
    <w:p>
      <w:pPr>
        <w:pStyle w:val="ListBullet"/>
        <w:spacing w:after="40"/>
        <w:ind w:left="360" w:hanging="259"/>
      </w:pPr>
      <w:r>
        <w:rPr>
          <w:b w:val="0"/>
        </w:rPr>
        <w:t>F-301-02 Consent Form Version Control Log</w:t>
      </w:r>
    </w:p>
    <w:p>
      <w:pPr>
        <w:pStyle w:val="ListBullet"/>
        <w:spacing w:after="40"/>
        <w:ind w:left="360" w:hanging="259"/>
      </w:pPr>
      <w:r>
        <w:rPr>
          <w:b w:val="0"/>
        </w:rPr>
        <w:t>F-302-01 Delegation of Authority Log</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F-502-01 Reportable New Information Assessment</w:t>
      </w:r>
    </w:p>
    <w:p>
      <w:pPr>
        <w:pStyle w:val="ListBullet"/>
        <w:spacing w:after="40"/>
        <w:ind w:left="360" w:hanging="259"/>
      </w:pPr>
      <w:r>
        <w:rPr>
          <w:b w:val="0"/>
        </w:rPr>
        <w:t>Appendix A State Law Worksheet</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SOP-M4 Decentralized Trial Elements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50</w:t>
            </w:r>
          </w:p>
        </w:tc>
        <w:tc>
          <w:tcPr>
            <w:tcW w:type="dxa" w:w="6946"/>
          </w:tcPr>
          <w:p>
            <w:pPr>
              <w:spacing w:after="0"/>
            </w:pPr>
            <w:r>
              <w:rPr>
                <w:b w:val="0"/>
                <w:sz w:val="19"/>
              </w:rPr>
              <w:t>Protection of Human Subjects (Subpart B Informed Consent; Subpart D Children)</w:t>
            </w:r>
          </w:p>
        </w:tc>
      </w:tr>
      <w:tr>
        <w:trPr>
          <w:cantSplit w:val="true"/>
        </w:trPr>
        <w:tc>
          <w:tcPr>
            <w:tcW w:type="dxa" w:w="2701"/>
          </w:tcPr>
          <w:p>
            <w:pPr>
              <w:spacing w:after="0"/>
            </w:pPr>
            <w:r>
              <w:rPr>
                <w:b w:val="0"/>
                <w:sz w:val="19"/>
              </w:rPr>
              <w:t>21 CFR 50.22</w:t>
            </w:r>
          </w:p>
        </w:tc>
        <w:tc>
          <w:tcPr>
            <w:tcW w:type="dxa" w:w="6946"/>
          </w:tcPr>
          <w:p>
            <w:pPr>
              <w:spacing w:after="0"/>
            </w:pPr>
            <w:r>
              <w:rPr>
                <w:b w:val="0"/>
                <w:sz w:val="19"/>
              </w:rPr>
              <w:t>Exception from informed consent for minimal risk clinical investigations (final rule, December 2023)</w:t>
            </w:r>
          </w:p>
        </w:tc>
      </w:tr>
      <w:tr>
        <w:trPr>
          <w:cantSplit w:val="true"/>
        </w:trPr>
        <w:tc>
          <w:tcPr>
            <w:tcW w:type="dxa" w:w="2701"/>
          </w:tcPr>
          <w:p>
            <w:pPr>
              <w:spacing w:after="0"/>
            </w:pPr>
            <w:r>
              <w:rPr>
                <w:b w:val="0"/>
                <w:sz w:val="19"/>
              </w:rPr>
              <w:t>21 CFR 50.23 and 50.24</w:t>
            </w:r>
          </w:p>
        </w:tc>
        <w:tc>
          <w:tcPr>
            <w:tcW w:type="dxa" w:w="6946"/>
          </w:tcPr>
          <w:p>
            <w:pPr>
              <w:spacing w:after="0"/>
            </w:pPr>
            <w:r>
              <w:rPr>
                <w:b w:val="0"/>
                <w:sz w:val="19"/>
              </w:rPr>
              <w:t>Exceptions from the general requirements; emergency research</w:t>
            </w:r>
          </w:p>
        </w:tc>
      </w:tr>
      <w:tr>
        <w:trPr>
          <w:cantSplit w:val="true"/>
        </w:trPr>
        <w:tc>
          <w:tcPr>
            <w:tcW w:type="dxa" w:w="2701"/>
          </w:tcPr>
          <w:p>
            <w:pPr>
              <w:spacing w:after="0"/>
            </w:pPr>
            <w:r>
              <w:rPr>
                <w:b w:val="0"/>
                <w:sz w:val="19"/>
              </w:rPr>
              <w:t>21 CFR 50.27</w:t>
            </w:r>
          </w:p>
        </w:tc>
        <w:tc>
          <w:tcPr>
            <w:tcW w:type="dxa" w:w="6946"/>
          </w:tcPr>
          <w:p>
            <w:pPr>
              <w:spacing w:after="0"/>
            </w:pPr>
            <w:r>
              <w:rPr>
                <w:b w:val="0"/>
                <w:sz w:val="19"/>
              </w:rPr>
              <w:t>Documentation of informed consent</w:t>
            </w:r>
          </w:p>
        </w:tc>
      </w:tr>
      <w:tr>
        <w:trPr>
          <w:cantSplit w:val="true"/>
        </w:trPr>
        <w:tc>
          <w:tcPr>
            <w:tcW w:type="dxa" w:w="2701"/>
          </w:tcPr>
          <w:p>
            <w:pPr>
              <w:spacing w:after="0"/>
            </w:pPr>
            <w:r>
              <w:rPr>
                <w:b w:val="0"/>
                <w:sz w:val="19"/>
              </w:rPr>
              <w:t>21 CFR 56.109(c)</w:t>
            </w:r>
          </w:p>
        </w:tc>
        <w:tc>
          <w:tcPr>
            <w:tcW w:type="dxa" w:w="6946"/>
          </w:tcPr>
          <w:p>
            <w:pPr>
              <w:spacing w:after="0"/>
            </w:pPr>
            <w:r>
              <w:rPr>
                <w:b w:val="0"/>
                <w:sz w:val="19"/>
              </w:rPr>
              <w:t>IRB waiver of documentation of consent</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312.62(b); 812.140(a)(3)</w:t>
            </w:r>
          </w:p>
        </w:tc>
        <w:tc>
          <w:tcPr>
            <w:tcW w:type="dxa" w:w="6946"/>
          </w:tcPr>
          <w:p>
            <w:pPr>
              <w:spacing w:after="0"/>
            </w:pPr>
            <w:r>
              <w:rPr>
                <w:b w:val="0"/>
                <w:sz w:val="19"/>
              </w:rPr>
              <w:t>Case histories (drugs; devices)</w:t>
            </w:r>
          </w:p>
        </w:tc>
      </w:tr>
      <w:tr>
        <w:trPr>
          <w:cantSplit w:val="true"/>
        </w:trPr>
        <w:tc>
          <w:tcPr>
            <w:tcW w:type="dxa" w:w="2701"/>
          </w:tcPr>
          <w:p>
            <w:pPr>
              <w:spacing w:after="0"/>
            </w:pPr>
            <w:r>
              <w:rPr>
                <w:b w:val="0"/>
                <w:sz w:val="19"/>
              </w:rPr>
              <w:t>45 CFR 46 (2018 revision)</w:t>
            </w:r>
          </w:p>
        </w:tc>
        <w:tc>
          <w:tcPr>
            <w:tcW w:type="dxa" w:w="6946"/>
          </w:tcPr>
          <w:p>
            <w:pPr>
              <w:spacing w:after="0"/>
            </w:pPr>
            <w:r>
              <w:rPr>
                <w:b w:val="0"/>
                <w:sz w:val="19"/>
              </w:rPr>
              <w:t>Common Rule (federally funded research only)</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HIPAA authorization</w:t>
            </w:r>
          </w:p>
        </w:tc>
      </w:tr>
      <w:tr>
        <w:trPr>
          <w:cantSplit w:val="true"/>
        </w:trPr>
        <w:tc>
          <w:tcPr>
            <w:tcW w:type="dxa" w:w="2701"/>
          </w:tcPr>
          <w:p>
            <w:pPr>
              <w:spacing w:after="0"/>
            </w:pPr>
            <w:r>
              <w:rPr>
                <w:b w:val="0"/>
                <w:sz w:val="19"/>
              </w:rPr>
              <w:t>ICH E6(R3) Annex 1, 2.3 and 2.8</w:t>
            </w:r>
          </w:p>
        </w:tc>
        <w:tc>
          <w:tcPr>
            <w:tcW w:type="dxa" w:w="6946"/>
          </w:tcPr>
          <w:p>
            <w:pPr>
              <w:spacing w:after="0"/>
            </w:pPr>
            <w:r>
              <w:rPr>
                <w:b w:val="0"/>
                <w:sz w:val="19"/>
              </w:rPr>
              <w:t>Investigator delegation; Informed Consent of Trial Participants</w:t>
            </w:r>
          </w:p>
        </w:tc>
      </w:tr>
      <w:tr>
        <w:trPr>
          <w:cantSplit w:val="true"/>
        </w:trPr>
        <w:tc>
          <w:tcPr>
            <w:tcW w:type="dxa" w:w="2701"/>
          </w:tcPr>
          <w:p>
            <w:pPr>
              <w:spacing w:after="0"/>
            </w:pPr>
            <w:r>
              <w:rPr>
                <w:b w:val="0"/>
                <w:sz w:val="19"/>
              </w:rPr>
              <w:t>FDA Guidance (August 2023)</w:t>
            </w:r>
          </w:p>
        </w:tc>
        <w:tc>
          <w:tcPr>
            <w:tcW w:type="dxa" w:w="6946"/>
          </w:tcPr>
          <w:p>
            <w:pPr>
              <w:spacing w:after="0"/>
            </w:pPr>
            <w:r>
              <w:rPr>
                <w:b w:val="0"/>
                <w:sz w:val="19"/>
              </w:rPr>
              <w:t>Informed Consent: Guidance for IRBs, Clinical Investigators, and Sponsors</w:t>
            </w:r>
          </w:p>
        </w:tc>
      </w:tr>
      <w:tr>
        <w:trPr>
          <w:cantSplit w:val="true"/>
        </w:trPr>
        <w:tc>
          <w:tcPr>
            <w:tcW w:type="dxa" w:w="2701"/>
          </w:tcPr>
          <w:p>
            <w:pPr>
              <w:spacing w:after="0"/>
            </w:pPr>
            <w:r>
              <w:rPr>
                <w:b w:val="0"/>
                <w:sz w:val="19"/>
              </w:rPr>
              <w:t>FDA Guidance</w:t>
            </w:r>
          </w:p>
        </w:tc>
        <w:tc>
          <w:tcPr>
            <w:tcW w:type="dxa" w:w="6946"/>
          </w:tcPr>
          <w:p>
            <w:pPr>
              <w:spacing w:after="0"/>
            </w:pPr>
            <w:r>
              <w:rPr>
                <w:b w:val="0"/>
                <w:sz w:val="19"/>
              </w:rPr>
              <w:t>Use of Electronic Informed Consent in Clinical Investigations: Questions and Answers</w:t>
            </w:r>
          </w:p>
        </w:tc>
      </w:tr>
      <w:tr>
        <w:trPr>
          <w:cantSplit w:val="true"/>
        </w:trPr>
        <w:tc>
          <w:tcPr>
            <w:tcW w:type="dxa" w:w="2701"/>
          </w:tcPr>
          <w:p>
            <w:pPr>
              <w:spacing w:after="0"/>
            </w:pPr>
            <w:r>
              <w:rPr>
                <w:b w:val="0"/>
                <w:sz w:val="19"/>
              </w:rPr>
              <w:t>FDA Guidance (1998)</w:t>
            </w:r>
          </w:p>
        </w:tc>
        <w:tc>
          <w:tcPr>
            <w:tcW w:type="dxa" w:w="6946"/>
          </w:tcPr>
          <w:p>
            <w:pPr>
              <w:spacing w:after="0"/>
            </w:pPr>
            <w:r>
              <w:rPr>
                <w:b w:val="0"/>
                <w:sz w:val="19"/>
              </w:rPr>
              <w:t>Screening Tests Prior to Study Enrollment</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w:t>
            </w:r>
          </w:p>
        </w:tc>
      </w:tr>
      <w:tr>
        <w:trPr>
          <w:cantSplit w:val="true"/>
        </w:trPr>
        <w:tc>
          <w:tcPr>
            <w:tcW w:type="dxa" w:w="2701"/>
          </w:tcPr>
          <w:p>
            <w:pPr>
              <w:spacing w:after="0"/>
            </w:pPr>
            <w:r>
              <w:rPr>
                <w:b w:val="0"/>
                <w:sz w:val="19"/>
              </w:rPr>
              <w:t>FDA Proposed Rule (2022)</w:t>
            </w:r>
          </w:p>
        </w:tc>
        <w:tc>
          <w:tcPr>
            <w:tcW w:type="dxa" w:w="6946"/>
          </w:tcPr>
          <w:p>
            <w:pPr>
              <w:spacing w:after="0"/>
            </w:pPr>
            <w:r>
              <w:rPr>
                <w:b w:val="0"/>
                <w:sz w:val="19"/>
              </w:rPr>
              <w:t>Common Rule harmonization, including key information; proposed, not final; applies if and when finalized</w:t>
            </w:r>
          </w:p>
        </w:tc>
      </w:tr>
      <w:tr>
        <w:trPr>
          <w:cantSplit w:val="true"/>
        </w:trPr>
        <w:tc>
          <w:tcPr>
            <w:tcW w:type="dxa" w:w="2701"/>
          </w:tcPr>
          <w:p>
            <w:pPr>
              <w:spacing w:after="0"/>
            </w:pPr>
            <w:r>
              <w:rPr>
                <w:b w:val="0"/>
                <w:sz w:val="19"/>
              </w:rPr>
              <w:t>Reference Edition SOP-301</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SOP-04 Informed Consent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SOP-04 Informed Consent</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