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SOP-01</w:t>
      </w:r>
    </w:p>
    <w:p>
      <w:pPr>
        <w:pStyle w:val="Title"/>
        <w:pBdr>
          <w:bottom w:val="single" w:sz="12" w:space="1" w:color="1F3864"/>
        </w:pBdr>
        <w:spacing w:after="120"/>
      </w:pPr>
      <w:r>
        <w:rPr>
          <w:b w:val="0"/>
          <w:color w:val="1F3864"/>
          <w:sz w:val="36"/>
        </w:rPr>
        <w:t>SOP Control, Training and Qualification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writes, approves, issues, reviews and retires its SOPs, work instructions and controlled forms, and how it confirms that each person working on research is qualified and trained for their tasks and keeps the records that show it.</w:t>
      </w:r>
    </w:p>
    <w:p>
      <w:pPr>
        <w:pStyle w:val="Heading1"/>
      </w:pPr>
      <w:r>
        <w:t>2. Scope</w:t>
      </w:r>
    </w:p>
    <w:p>
      <w:pPr/>
      <w:r>
        <w:rPr>
          <w:b w:val="0"/>
        </w:rPr>
        <w:t xml:space="preserve">This SOP applies to all controlled documents in the </w:t>
      </w:r>
      <w:r>
        <w:rPr>
          <w:b w:val="0"/>
          <w:highlight w:val="yellow"/>
        </w:rPr>
        <w:t>[SITE NAME]</w:t>
      </w:r>
      <w:r>
        <w:rPr>
          <w:b w:val="0"/>
        </w:rPr>
        <w:t xml:space="preserve"> quality system and to all investigators, employees, contractors and agency or per diem staff who perform research tasks at any </w:t>
      </w:r>
      <w:r>
        <w:rPr>
          <w:b w:val="0"/>
          <w:highlight w:val="yellow"/>
        </w:rPr>
        <w:t>[SITE NAME]</w:t>
      </w:r>
      <w:r>
        <w:rPr>
          <w:b w:val="0"/>
        </w:rPr>
        <w:t xml:space="preserve"> location.</w:t>
      </w:r>
    </w:p>
    <w:p>
      <w:pPr/>
      <w:r>
        <w:rPr>
          <w:b w:val="0"/>
        </w:rPr>
        <w:t>It does not cover documents written by sponsors or IRBs (protocols, manuals, consent templates, IRB policies). The site follows those as issued and files them under SOP-03.</w:t>
      </w:r>
    </w:p>
    <w:p>
      <w:pPr/>
      <w:r>
        <w:rPr>
          <w:b w:val="0"/>
        </w:rPr>
        <w:t>Throughout this SOP library, staff follow the protocol, sponsor or IRB requirement where it is stricter than the SOP. Steps elsewhere in the library do not repeat this rule.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Owns the SOP system and the training program. Keeps F-100-03, routes reviews, sets effective dates, retires old versions, sets role-based curricula, runs debarment and exclusion screening, and approves planned SOP deviations.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SOPs for operational fit and resources. Provides time for training. Stops a person from working on tasks for which training or licensure has lapsed.</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SOPs that affect investigator duties, participant safety, consent, investigational product (IP) or data integrity. Confirms each delegate is trained on the protocol before delegating.</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Delivers or arranges protocol, amendment and study-system training for assigned studies and records it.</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study-required qualification documents in the ISF and sends them to sponsors.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Follow the current effective SOP version. Complete assigned training before the due date. Keep their CV, license and certifications current. Report any SOP deviation, license action or exclusion.</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Standard Operating Procedure (SOP)</w:t>
            </w:r>
          </w:p>
        </w:tc>
        <w:tc>
          <w:tcPr>
            <w:tcW w:type="dxa" w:w="6946"/>
          </w:tcPr>
          <w:p>
            <w:pPr>
              <w:spacing w:after="0"/>
            </w:pPr>
            <w:r>
              <w:rPr>
                <w:b w:val="0"/>
                <w:sz w:val="19"/>
              </w:rPr>
              <w:t>Detailed, documented instructions to achieve uniformity of the performance of a specific activity (ICH E6(R3) Glossary).</w:t>
            </w:r>
          </w:p>
        </w:tc>
      </w:tr>
      <w:tr>
        <w:trPr>
          <w:cantSplit w:val="true"/>
        </w:trPr>
        <w:tc>
          <w:tcPr>
            <w:tcW w:type="dxa" w:w="2701"/>
          </w:tcPr>
          <w:p>
            <w:pPr>
              <w:spacing w:after="0"/>
            </w:pPr>
            <w:r>
              <w:rPr>
                <w:b w:val="0"/>
                <w:sz w:val="19"/>
              </w:rPr>
              <w:t>Work Instruction (WI)</w:t>
            </w:r>
          </w:p>
        </w:tc>
        <w:tc>
          <w:tcPr>
            <w:tcW w:type="dxa" w:w="6946"/>
          </w:tcPr>
          <w:p>
            <w:pPr>
              <w:spacing w:after="0"/>
            </w:pPr>
            <w:r>
              <w:rPr>
                <w:b w:val="0"/>
                <w:sz w:val="19"/>
              </w:rPr>
              <w:t>A controlled site document giving step-level detail for one study, system or location. It must not conflict with an SOP.</w:t>
            </w:r>
          </w:p>
        </w:tc>
      </w:tr>
      <w:tr>
        <w:trPr>
          <w:cantSplit w:val="true"/>
        </w:trPr>
        <w:tc>
          <w:tcPr>
            <w:tcW w:type="dxa" w:w="2701"/>
          </w:tcPr>
          <w:p>
            <w:pPr>
              <w:spacing w:after="0"/>
            </w:pPr>
            <w:r>
              <w:rPr>
                <w:b w:val="0"/>
                <w:sz w:val="19"/>
              </w:rPr>
              <w:t>Controlled Document</w:t>
            </w:r>
          </w:p>
        </w:tc>
        <w:tc>
          <w:tcPr>
            <w:tcW w:type="dxa" w:w="6946"/>
          </w:tcPr>
          <w:p>
            <w:pPr>
              <w:spacing w:after="0"/>
            </w:pPr>
            <w:r>
              <w:rPr>
                <w:b w:val="0"/>
                <w:sz w:val="19"/>
              </w:rPr>
              <w:t>An SOP, WI or controlled form with an identifier, version, effective date and approval record.</w:t>
            </w:r>
          </w:p>
        </w:tc>
      </w:tr>
      <w:tr>
        <w:trPr>
          <w:cantSplit w:val="true"/>
        </w:trPr>
        <w:tc>
          <w:tcPr>
            <w:tcW w:type="dxa" w:w="2701"/>
          </w:tcPr>
          <w:p>
            <w:pPr>
              <w:spacing w:after="0"/>
            </w:pPr>
            <w:r>
              <w:rPr>
                <w:b w:val="0"/>
                <w:sz w:val="19"/>
              </w:rPr>
              <w:t>Effective Date</w:t>
            </w:r>
          </w:p>
        </w:tc>
        <w:tc>
          <w:tcPr>
            <w:tcW w:type="dxa" w:w="6946"/>
          </w:tcPr>
          <w:p>
            <w:pPr>
              <w:spacing w:after="0"/>
            </w:pPr>
            <w:r>
              <w:rPr>
                <w:b w:val="0"/>
                <w:sz w:val="19"/>
              </w:rPr>
              <w:t>The date from which staff must follow a version.</w:t>
            </w:r>
          </w:p>
        </w:tc>
      </w:tr>
      <w:tr>
        <w:trPr>
          <w:cantSplit w:val="true"/>
        </w:trPr>
        <w:tc>
          <w:tcPr>
            <w:tcW w:type="dxa" w:w="2701"/>
          </w:tcPr>
          <w:p>
            <w:pPr>
              <w:spacing w:after="0"/>
            </w:pPr>
            <w:r>
              <w:rPr>
                <w:b w:val="0"/>
                <w:sz w:val="19"/>
              </w:rPr>
              <w:t>SOP Deviation</w:t>
            </w:r>
          </w:p>
        </w:tc>
        <w:tc>
          <w:tcPr>
            <w:tcW w:type="dxa" w:w="6946"/>
          </w:tcPr>
          <w:p>
            <w:pPr>
              <w:spacing w:after="0"/>
            </w:pPr>
            <w:r>
              <w:rPr>
                <w:b w:val="0"/>
                <w:sz w:val="19"/>
              </w:rPr>
              <w:t>A departure from an effective SOP. Planned deviations are approved in advance; unplanned deviations are found after they happen.</w:t>
            </w:r>
          </w:p>
        </w:tc>
      </w:tr>
      <w:tr>
        <w:trPr>
          <w:cantSplit w:val="true"/>
        </w:trPr>
        <w:tc>
          <w:tcPr>
            <w:tcW w:type="dxa" w:w="2701"/>
          </w:tcPr>
          <w:p>
            <w:pPr>
              <w:spacing w:after="0"/>
            </w:pPr>
            <w:r>
              <w:rPr>
                <w:b w:val="0"/>
                <w:sz w:val="19"/>
              </w:rPr>
              <w:t>must / should / may</w:t>
            </w:r>
          </w:p>
        </w:tc>
        <w:tc>
          <w:tcPr>
            <w:tcW w:type="dxa" w:w="6946"/>
          </w:tcPr>
          <w:p>
            <w:pPr>
              <w:spacing w:after="0"/>
            </w:pPr>
            <w:r>
              <w:rPr>
                <w:b w:val="0"/>
                <w:sz w:val="19"/>
              </w:rPr>
              <w:t xml:space="preserve">Fixed meanings across this library. </w:t>
            </w:r>
            <w:r>
              <w:rPr>
                <w:b/>
                <w:sz w:val="19"/>
              </w:rPr>
              <w:t>must</w:t>
            </w:r>
            <w:r>
              <w:rPr>
                <w:b w:val="0"/>
                <w:sz w:val="19"/>
              </w:rPr>
              <w:t xml:space="preserve"> = required by regulation or by this library. </w:t>
            </w:r>
            <w:r>
              <w:rPr>
                <w:b/>
                <w:sz w:val="19"/>
              </w:rPr>
              <w:t>should</w:t>
            </w:r>
            <w:r>
              <w:rPr>
                <w:b w:val="0"/>
                <w:sz w:val="19"/>
              </w:rPr>
              <w:t xml:space="preserve"> = expected unless a documented reason exists. </w:t>
            </w:r>
            <w:r>
              <w:rPr>
                <w:b/>
                <w:sz w:val="19"/>
              </w:rPr>
              <w:t>may</w:t>
            </w:r>
            <w:r>
              <w:rPr>
                <w:b w:val="0"/>
                <w:sz w:val="19"/>
              </w:rPr>
              <w:t xml:space="preserve"> = permitted.</w:t>
            </w:r>
          </w:p>
        </w:tc>
      </w:tr>
      <w:tr>
        <w:trPr>
          <w:cantSplit w:val="true"/>
        </w:trPr>
        <w:tc>
          <w:tcPr>
            <w:tcW w:type="dxa" w:w="2701"/>
          </w:tcPr>
          <w:p>
            <w:pPr>
              <w:spacing w:after="0"/>
            </w:pPr>
            <w:r>
              <w:rPr>
                <w:b w:val="0"/>
                <w:sz w:val="19"/>
                <w:highlight w:val="green"/>
              </w:rPr>
              <w:t>[DEFAULT: ...]</w:t>
            </w:r>
          </w:p>
        </w:tc>
        <w:tc>
          <w:tcPr>
            <w:tcW w:type="dxa" w:w="6946"/>
          </w:tcPr>
          <w:p>
            <w:pPr>
              <w:spacing w:after="0"/>
            </w:pPr>
            <w:r>
              <w:rPr>
                <w:b w:val="0"/>
                <w:sz w:val="19"/>
              </w:rPr>
              <w:t>A value set by this library that the site may change at adoption or by revision under this SOP.</w:t>
            </w:r>
          </w:p>
        </w:tc>
      </w:tr>
      <w:tr>
        <w:trPr>
          <w:cantSplit w:val="true"/>
        </w:trPr>
        <w:tc>
          <w:tcPr>
            <w:tcW w:type="dxa" w:w="2701"/>
          </w:tcPr>
          <w:p>
            <w:pPr>
              <w:spacing w:after="0"/>
            </w:pPr>
            <w:r>
              <w:rPr>
                <w:b w:val="0"/>
                <w:sz w:val="19"/>
              </w:rPr>
              <w:t>Independent Reviewer</w:t>
            </w:r>
          </w:p>
        </w:tc>
        <w:tc>
          <w:tcPr>
            <w:tcW w:type="dxa" w:w="6946"/>
          </w:tcPr>
          <w:p>
            <w:pPr>
              <w:spacing w:after="0"/>
            </w:pPr>
            <w:r>
              <w:rPr>
                <w:b w:val="0"/>
                <w:sz w:val="19"/>
              </w:rPr>
              <w:t>The person named under SOP-02, 5.2, who is not employed by and does not report to the person whose work is reviewed. Used wherever this library needs a second or independent person and the site has none.</w:t>
            </w:r>
          </w:p>
        </w:tc>
      </w:tr>
      <w:tr>
        <w:trPr>
          <w:cantSplit w:val="true"/>
        </w:trPr>
        <w:tc>
          <w:tcPr>
            <w:tcW w:type="dxa" w:w="2701"/>
          </w:tcPr>
          <w:p>
            <w:pPr>
              <w:spacing w:after="0"/>
            </w:pPr>
            <w:r>
              <w:rPr>
                <w:b w:val="0"/>
                <w:sz w:val="19"/>
              </w:rPr>
              <w:t>Qualification File</w:t>
            </w:r>
          </w:p>
        </w:tc>
        <w:tc>
          <w:tcPr>
            <w:tcW w:type="dxa" w:w="6946"/>
          </w:tcPr>
          <w:p>
            <w:pPr>
              <w:spacing w:after="0"/>
            </w:pPr>
            <w:r>
              <w:rPr>
                <w:b w:val="0"/>
                <w:sz w:val="19"/>
              </w:rPr>
              <w:t>The records showing a person is qualified for their research role (F-103-02).</w:t>
            </w:r>
          </w:p>
        </w:tc>
      </w:tr>
      <w:tr>
        <w:trPr>
          <w:cantSplit w:val="true"/>
        </w:trPr>
        <w:tc>
          <w:tcPr>
            <w:tcW w:type="dxa" w:w="2701"/>
          </w:tcPr>
          <w:p>
            <w:pPr>
              <w:spacing w:after="0"/>
            </w:pPr>
            <w:r>
              <w:rPr>
                <w:b w:val="0"/>
                <w:sz w:val="19"/>
              </w:rPr>
              <w:t>Competency Check</w:t>
            </w:r>
          </w:p>
        </w:tc>
        <w:tc>
          <w:tcPr>
            <w:tcW w:type="dxa" w:w="6946"/>
          </w:tcPr>
          <w:p>
            <w:pPr>
              <w:spacing w:after="0"/>
            </w:pPr>
            <w:r>
              <w:rPr>
                <w:b w:val="0"/>
                <w:sz w:val="19"/>
              </w:rPr>
              <w:t>Direct observation or other test showing a person performs a task correctly, recorded with the assessor and date.</w:t>
            </w:r>
          </w:p>
        </w:tc>
      </w:tr>
      <w:tr>
        <w:trPr>
          <w:cantSplit w:val="true"/>
        </w:trPr>
        <w:tc>
          <w:tcPr>
            <w:tcW w:type="dxa" w:w="2701"/>
          </w:tcPr>
          <w:p>
            <w:pPr>
              <w:spacing w:after="0"/>
            </w:pPr>
            <w:r>
              <w:rPr>
                <w:b w:val="0"/>
                <w:sz w:val="19"/>
              </w:rPr>
              <w:t>Hazmat Employee</w:t>
            </w:r>
          </w:p>
        </w:tc>
        <w:tc>
          <w:tcPr>
            <w:tcW w:type="dxa" w:w="6946"/>
          </w:tcPr>
          <w:p>
            <w:pPr>
              <w:spacing w:after="0"/>
            </w:pPr>
            <w:r>
              <w:rPr>
                <w:b w:val="0"/>
                <w:sz w:val="19"/>
              </w:rPr>
              <w:t>A person who prepares hazardous materials for transport, including packaging, marking, labeling and signing shipping papers (49 CFR 171.8).</w:t>
            </w:r>
          </w:p>
        </w:tc>
      </w:tr>
    </w:tbl>
    <w:p>
      <w:pPr>
        <w:spacing w:after="40"/>
      </w:pPr>
    </w:p>
    <w:p>
      <w:pPr>
        <w:pStyle w:val="Heading1"/>
      </w:pPr>
      <w:r>
        <w:t>5. Procedure</w:t>
      </w:r>
    </w:p>
    <w:p>
      <w:pPr>
        <w:pStyle w:val="Heading2"/>
      </w:pPr>
      <w:r>
        <w:t>5.1 Order of precedence</w:t>
      </w:r>
    </w:p>
    <w:p>
      <w:pPr>
        <w:tabs>
          <w:tab w:pos="648" w:val="left"/>
        </w:tabs>
        <w:ind w:left="648" w:hanging="648"/>
      </w:pPr>
      <w:r>
        <w:rPr>
          <w:b/>
        </w:rPr>
        <w:t>5.1.1</w:t>
        <w:tab/>
      </w:r>
      <w:r>
        <w:rPr>
          <w:b w:val="0"/>
        </w:rPr>
        <w:t xml:space="preserve">All Research Staff apply requirements in this order: law and regulation; the reviewing IRB's determinations; the IRB-approved protocol and sponsor written instructions (manuals, agreement terms); </w:t>
      </w:r>
      <w:r>
        <w:rPr>
          <w:b w:val="0"/>
          <w:highlight w:val="yellow"/>
        </w:rPr>
        <w:t>[SITE NAME]</w:t>
      </w:r>
      <w:r>
        <w:rPr>
          <w:b w:val="0"/>
        </w:rPr>
        <w:t xml:space="preserve"> SOPs; work instructions and job aids.</w:t>
      </w:r>
    </w:p>
    <w:p>
      <w:pPr>
        <w:tabs>
          <w:tab w:pos="648" w:val="left"/>
        </w:tabs>
        <w:ind w:left="648" w:hanging="648"/>
      </w:pPr>
      <w:r>
        <w:rPr>
          <w:b/>
        </w:rPr>
        <w:t>5.1.2</w:t>
        <w:tab/>
      </w:r>
      <w:r>
        <w:rPr>
          <w:b w:val="0"/>
        </w:rPr>
        <w:t>Where an SOP is stricter than the protocol or sponsor instruction and both can be met, staff follow both.</w:t>
      </w:r>
    </w:p>
    <w:p>
      <w:pPr>
        <w:tabs>
          <w:tab w:pos="648" w:val="left"/>
        </w:tabs>
        <w:ind w:left="648" w:hanging="648"/>
      </w:pPr>
      <w:r>
        <w:rPr>
          <w:b/>
        </w:rPr>
        <w:t>5.1.3</w:t>
        <w:tab/>
      </w:r>
      <w:r>
        <w:rPr>
          <w:b w:val="0"/>
        </w:rPr>
        <w:t>Where an SOP and a protocol or sponsor instruction cannot both be met, the CRC or Regulatory Coordinator raises it with the Quality Lead before the work, and it is handled as a planned deviation under 5.6.1. If it will recur across studies, the Quality Lead opens an SOP revision.</w:t>
      </w:r>
    </w:p>
    <w:p>
      <w:pPr>
        <w:tabs>
          <w:tab w:pos="648" w:val="left"/>
        </w:tabs>
        <w:ind w:left="648" w:hanging="648"/>
      </w:pPr>
      <w:r>
        <w:rPr>
          <w:b/>
        </w:rPr>
        <w:t>5.1.4</w:t>
        <w:tab/>
      </w:r>
      <w:r>
        <w:rPr>
          <w:b w:val="0"/>
        </w:rPr>
        <w:t>Nothing in an SOP, work instruction or sponsor instruction delays an action needed to eliminate an immediate hazard to a participant. The departure is then handled under SOP-08.</w:t>
      </w:r>
    </w:p>
    <w:p>
      <w:pPr>
        <w:pStyle w:val="Heading2"/>
      </w:pPr>
      <w:r>
        <w:t>5.2 Numbering and versions</w:t>
      </w:r>
    </w:p>
    <w:p>
      <w:pPr>
        <w:tabs>
          <w:tab w:pos="648" w:val="left"/>
        </w:tabs>
        <w:ind w:left="648" w:hanging="648"/>
      </w:pPr>
      <w:r>
        <w:rPr>
          <w:b/>
        </w:rPr>
        <w:t>5.2.1</w:t>
        <w:tab/>
      </w:r>
      <w:r>
        <w:rPr>
          <w:b w:val="0"/>
        </w:rPr>
        <w:t>Core SOPs are numbered SOP-01 to SOP-16; optional modules SOP-M1 to SOP-M6. Forms keep their F-XXX-NN codes. Work instructions are numbered WI-</w:t>
      </w:r>
      <w:r>
        <w:rPr>
          <w:b w:val="0"/>
          <w:highlight w:val="yellow"/>
        </w:rPr>
        <w:t>[SOP NUMBER]</w:t>
      </w:r>
      <w:r>
        <w:rPr>
          <w:b w:val="0"/>
        </w:rPr>
        <w:t>-NN; a study-specific WI carries the protocol number in its title.</w:t>
      </w:r>
    </w:p>
    <w:p>
      <w:pPr>
        <w:tabs>
          <w:tab w:pos="648" w:val="left"/>
        </w:tabs>
        <w:ind w:left="648" w:hanging="648"/>
      </w:pPr>
      <w:r>
        <w:rPr>
          <w:b/>
        </w:rPr>
        <w:t>5.2.2</w:t>
        <w:tab/>
      </w:r>
      <w:r>
        <w:rPr>
          <w:b w:val="0"/>
        </w:rPr>
        <w:t>The first approved version is 1.0. A change to what staff do, who does it, or a timeline is a major change (1.0 to 2.0). An editorial change is a minor change (1.0 to 1.1). The Quality Lead records the category on F-100-01.</w:t>
      </w:r>
    </w:p>
    <w:p>
      <w:pPr>
        <w:pStyle w:val="Heading2"/>
      </w:pPr>
      <w:r>
        <w:t>5.3 Writing, review and approval</w:t>
      </w:r>
    </w:p>
    <w:p>
      <w:pPr>
        <w:tabs>
          <w:tab w:pos="648" w:val="left"/>
        </w:tabs>
        <w:ind w:left="648" w:hanging="648"/>
      </w:pPr>
      <w:r>
        <w:rPr>
          <w:b/>
        </w:rPr>
        <w:t>5.3.1</w:t>
        <w:tab/>
      </w:r>
      <w:r>
        <w:rPr>
          <w:b w:val="0"/>
        </w:rPr>
        <w:t>Any staff member may request a new or revised SOP or WI by sending the request and reason to the Quality Lead. The Quality Lead records the request, author and target date on F-100-03.</w:t>
      </w:r>
    </w:p>
    <w:p>
      <w:pPr>
        <w:tabs>
          <w:tab w:pos="648" w:val="left"/>
        </w:tabs>
        <w:ind w:left="648" w:hanging="648"/>
      </w:pPr>
      <w:r>
        <w:rPr>
          <w:b/>
        </w:rPr>
        <w:t>5.3.2</w:t>
        <w:tab/>
      </w:r>
      <w:r>
        <w:rPr>
          <w:b w:val="0"/>
        </w:rPr>
        <w:t>The author drafts in the site template, states who does what, when and which record proves it, points to other SOPs instead of repeating them, checks citations, and consults at least one person who performs the process.</w:t>
      </w:r>
    </w:p>
    <w:p>
      <w:pPr>
        <w:tabs>
          <w:tab w:pos="648" w:val="left"/>
        </w:tabs>
        <w:ind w:left="648" w:hanging="648"/>
      </w:pPr>
      <w:r>
        <w:rPr>
          <w:b/>
        </w:rPr>
        <w:t>5.3.3</w:t>
        <w:tab/>
      </w:r>
      <w:r>
        <w:rPr>
          <w:b w:val="0"/>
        </w:rPr>
        <w:t>The Quality Lead routes the draft to the staff who perform the process, and to the clinical approver when the SOP affects investigator duties, safety, consent, IP or data integrity. The author resolves each comment; the comment record is kept with F-100-01.</w:t>
      </w:r>
    </w:p>
    <w:p>
      <w:pPr>
        <w:tabs>
          <w:tab w:pos="648" w:val="left"/>
        </w:tabs>
        <w:ind w:left="648" w:hanging="648"/>
      </w:pPr>
      <w:r>
        <w:rPr>
          <w:b/>
        </w:rPr>
        <w:t>5.3.4</w:t>
        <w:tab/>
      </w:r>
      <w:r>
        <w:rPr>
          <w:b w:val="0"/>
        </w:rPr>
        <w:t>Approvals are recorded on F-100-01:</w:t>
      </w:r>
    </w:p>
    <w:p>
      <w:pPr>
        <w:pStyle w:val="ListBullet"/>
        <w:spacing w:after="40"/>
        <w:ind w:left="1008" w:hanging="259"/>
      </w:pPr>
      <w:r>
        <w:rPr>
          <w:b w:val="0"/>
        </w:rPr>
        <w:t>SOPs: author, Quality Lead, Site Director, and the clinical approver (</w:t>
      </w:r>
      <w:r>
        <w:rPr>
          <w:b w:val="0"/>
          <w:highlight w:val="green"/>
        </w:rPr>
        <w:t>[DEFAULT: the lead PI]</w:t>
      </w:r>
      <w:r>
        <w:rPr>
          <w:b w:val="0"/>
        </w:rPr>
        <w:t>) where 5.3.3 applies</w:t>
      </w:r>
    </w:p>
    <w:p>
      <w:pPr>
        <w:pStyle w:val="ListBullet"/>
        <w:spacing w:after="40"/>
        <w:ind w:left="1008" w:hanging="259"/>
      </w:pPr>
      <w:r>
        <w:rPr>
          <w:b w:val="0"/>
        </w:rPr>
        <w:t>work instructions: author and Quality Lead, plus the PI for a study-specific WI that affects participant care or data</w:t>
      </w:r>
    </w:p>
    <w:p>
      <w:pPr>
        <w:pStyle w:val="ListBullet"/>
        <w:spacing w:after="40"/>
        <w:ind w:left="1008" w:hanging="259"/>
      </w:pPr>
      <w:r>
        <w:rPr>
          <w:b w:val="0"/>
        </w:rPr>
        <w:t>controlled forms: Quality Lead, with the parent SOP or as a minor change</w:t>
      </w:r>
    </w:p>
    <w:p>
      <w:pPr>
        <w:tabs>
          <w:tab w:pos="648" w:val="left"/>
        </w:tabs>
        <w:ind w:left="648" w:hanging="648"/>
      </w:pPr>
      <w:r>
        <w:rPr>
          <w:b/>
        </w:rPr>
        <w:t>5.3.5</w:t>
        <w:tab/>
      </w:r>
      <w:r>
        <w:rPr>
          <w:b w:val="0"/>
        </w:rPr>
        <w:t>No one is the only approver of an SOP they wrote. Where one person is author, Quality Lead and Site Director, the PI approves; where that person is also the PI, the independent reviewer (SOP-02, 5.2) approves.</w:t>
      </w:r>
    </w:p>
    <w:p>
      <w:pPr>
        <w:tabs>
          <w:tab w:pos="648" w:val="left"/>
        </w:tabs>
        <w:ind w:left="648" w:hanging="648"/>
      </w:pPr>
      <w:r>
        <w:rPr>
          <w:b/>
        </w:rPr>
        <w:t>5.3.6</w:t>
        <w:tab/>
      </w:r>
      <w:r>
        <w:rPr>
          <w:b w:val="0"/>
        </w:rPr>
        <w:t>Signatures may be wet ink or electronic; electronic signatures meet SOP-12.</w:t>
      </w:r>
    </w:p>
    <w:p>
      <w:pPr>
        <w:pStyle w:val="Heading2"/>
      </w:pPr>
      <w:r>
        <w:t>5.4 Effective date, training and issue</w:t>
      </w:r>
    </w:p>
    <w:p>
      <w:pPr>
        <w:tabs>
          <w:tab w:pos="648" w:val="left"/>
        </w:tabs>
        <w:ind w:left="648" w:hanging="648"/>
      </w:pPr>
      <w:r>
        <w:rPr>
          <w:b/>
        </w:rPr>
        <w:t>5.4.1</w:t>
        <w:tab/>
      </w:r>
      <w:r>
        <w:rPr>
          <w:b w:val="0"/>
        </w:rPr>
        <w:t xml:space="preserve">The Quality Lead sets the effective date at approval, at least </w:t>
      </w:r>
      <w:r>
        <w:rPr>
          <w:b w:val="0"/>
          <w:highlight w:val="green"/>
        </w:rPr>
        <w:t>[DEFAULT: 14 calendar days]</w:t>
      </w:r>
      <w:r>
        <w:rPr>
          <w:b w:val="0"/>
        </w:rPr>
        <w:t xml:space="preserve"> later (for adoption of the library, </w:t>
      </w:r>
      <w:r>
        <w:rPr>
          <w:b w:val="0"/>
          <w:highlight w:val="green"/>
        </w:rPr>
        <w:t>[DEFAULT: 30 calendar days]</w:t>
      </w:r>
      <w:r>
        <w:rPr>
          <w:b w:val="0"/>
        </w:rPr>
        <w:t>), and assigns training by role on F-103-01.</w:t>
      </w:r>
    </w:p>
    <w:p>
      <w:pPr>
        <w:tabs>
          <w:tab w:pos="648" w:val="left"/>
        </w:tabs>
        <w:ind w:left="648" w:hanging="648"/>
      </w:pPr>
      <w:r>
        <w:rPr>
          <w:b/>
        </w:rPr>
        <w:t>5.4.2</w:t>
        <w:tab/>
      </w:r>
      <w:r>
        <w:rPr>
          <w:b w:val="0"/>
        </w:rPr>
        <w:t>Each assigned person reads the SOP (for a major change, at least the changed sections with a summary of changes) and signs F-100-02 before the effective date. For SOP-04, SOP-06, SOP-08 and SOP-09, training is a trainer-led session or a short knowledge check, not read-and-sign alone. Minor changes may be released with a read-and-acknowledge notice.</w:t>
      </w:r>
    </w:p>
    <w:p>
      <w:pPr>
        <w:tabs>
          <w:tab w:pos="648" w:val="left"/>
        </w:tabs>
        <w:ind w:left="648" w:hanging="648"/>
      </w:pPr>
      <w:r>
        <w:rPr>
          <w:b/>
        </w:rPr>
        <w:t>5.4.3</w:t>
        <w:tab/>
      </w:r>
      <w:r>
        <w:rPr>
          <w:b w:val="0"/>
        </w:rPr>
        <w:t>Before the effective date, the Quality Lead checks completion and either moves the date or restricts untrained staff from the tasks the SOP covers.</w:t>
      </w:r>
    </w:p>
    <w:p>
      <w:pPr>
        <w:tabs>
          <w:tab w:pos="648" w:val="left"/>
        </w:tabs>
        <w:ind w:left="648" w:hanging="648"/>
      </w:pPr>
      <w:r>
        <w:rPr>
          <w:b/>
        </w:rPr>
        <w:t>5.4.4</w:t>
        <w:tab/>
      </w:r>
      <w:r>
        <w:rPr>
          <w:b w:val="0"/>
        </w:rPr>
        <w:t xml:space="preserve">The Quality Lead publishes effective versions in one controlled location, </w:t>
      </w:r>
      <w:r>
        <w:rPr>
          <w:b w:val="0"/>
          <w:highlight w:val="yellow"/>
        </w:rPr>
        <w:t>[SOP REPOSITORY LOCATION]</w:t>
      </w:r>
      <w:r>
        <w:rPr>
          <w:b w:val="0"/>
        </w:rPr>
        <w:t>, with edit rights limited to the Quality Lead and a named backup. Printed copies carry "Uncontrolled when printed".</w:t>
      </w:r>
    </w:p>
    <w:p>
      <w:pPr>
        <w:tabs>
          <w:tab w:pos="648" w:val="left"/>
        </w:tabs>
        <w:ind w:left="648" w:hanging="648"/>
      </w:pPr>
      <w:r>
        <w:rPr>
          <w:b/>
        </w:rPr>
        <w:t>5.4.5</w:t>
        <w:tab/>
      </w:r>
      <w:r>
        <w:rPr>
          <w:b w:val="0"/>
        </w:rPr>
        <w:t>When a sponsor, monitor, auditor or inspector asks for SOPs, the Quality Lead or Regulatory Coordinator provides the version effective during the period under review and records what was provided (for inspections, on F-702-01). Optional modules the site has not adopted are listed as not adopted on F-100-03.</w:t>
      </w:r>
    </w:p>
    <w:p>
      <w:pPr>
        <w:pStyle w:val="Heading2"/>
      </w:pPr>
      <w:r>
        <w:t>5.5 Periodic review and obsolete versions</w:t>
      </w:r>
    </w:p>
    <w:p>
      <w:pPr>
        <w:tabs>
          <w:tab w:pos="648" w:val="left"/>
        </w:tabs>
        <w:ind w:left="648" w:hanging="648"/>
      </w:pPr>
      <w:r>
        <w:rPr>
          <w:b/>
        </w:rPr>
        <w:t>5.5.1</w:t>
        <w:tab/>
      </w:r>
      <w:r>
        <w:rPr>
          <w:b w:val="0"/>
        </w:rPr>
        <w:t xml:space="preserve">The Quality Lead reviews each SOP at least every </w:t>
      </w:r>
      <w:r>
        <w:rPr>
          <w:b w:val="0"/>
          <w:highlight w:val="green"/>
        </w:rPr>
        <w:t>[DEFAULT: 2 years]</w:t>
      </w:r>
      <w:r>
        <w:rPr>
          <w:b w:val="0"/>
        </w:rPr>
        <w:t xml:space="preserve"> from its effective date, and sooner after a regulatory change, an audit, inspection or monitoring finding, a CAPA, a new type of study or system, or recurring SOP deviations. Due dates are tracked on F-100-03.</w:t>
      </w:r>
    </w:p>
    <w:p>
      <w:pPr>
        <w:tabs>
          <w:tab w:pos="648" w:val="left"/>
        </w:tabs>
        <w:ind w:left="648" w:hanging="648"/>
      </w:pPr>
      <w:r>
        <w:rPr>
          <w:b/>
        </w:rPr>
        <w:t>5.5.2</w:t>
        <w:tab/>
      </w:r>
      <w:r>
        <w:rPr>
          <w:b w:val="0"/>
        </w:rPr>
        <w:t xml:space="preserve">The outcome is recorded on F-100-01 as no change (review date recorded, version unchanged), minor change or major change. An SOP past its review date stays effective; the Quality Lead completes the review within </w:t>
      </w:r>
      <w:r>
        <w:rPr>
          <w:b w:val="0"/>
          <w:highlight w:val="green"/>
        </w:rPr>
        <w:t>[DEFAULT: 60 calendar days]</w:t>
      </w:r>
      <w:r>
        <w:rPr>
          <w:b w:val="0"/>
        </w:rPr>
        <w:t xml:space="preserve"> and records the reason for the delay.</w:t>
      </w:r>
    </w:p>
    <w:p>
      <w:pPr>
        <w:tabs>
          <w:tab w:pos="648" w:val="left"/>
        </w:tabs>
        <w:ind w:left="648" w:hanging="648"/>
      </w:pPr>
      <w:r>
        <w:rPr>
          <w:b/>
        </w:rPr>
        <w:t>5.5.3</w:t>
        <w:tab/>
      </w:r>
      <w:r>
        <w:rPr>
          <w:b w:val="0"/>
        </w:rPr>
        <w:t>When a new version becomes effective, the Quality Lead removes the old version from the controlled location and points of use the same day, marks one archived copy "SUPERSEDED" with the date, and keeps it with its F-100-01 and training records for as long as the records of any study conducted under it (SOP-12). An SOP retired without replacement is recorded on F-100-01 and F-100-03.</w:t>
      </w:r>
    </w:p>
    <w:p>
      <w:pPr>
        <w:pStyle w:val="Heading2"/>
      </w:pPr>
      <w:r>
        <w:t>5.6 SOP deviations</w:t>
      </w:r>
    </w:p>
    <w:p>
      <w:pPr>
        <w:tabs>
          <w:tab w:pos="648" w:val="left"/>
        </w:tabs>
        <w:ind w:left="648" w:hanging="648"/>
      </w:pPr>
      <w:r>
        <w:rPr>
          <w:b/>
        </w:rPr>
        <w:t>5.6.1</w:t>
        <w:tab/>
      </w:r>
      <w:r>
        <w:rPr>
          <w:b/>
        </w:rPr>
        <w:t>Planned.</w:t>
      </w:r>
      <w:r>
        <w:rPr>
          <w:b w:val="0"/>
        </w:rPr>
        <w:t xml:space="preserve"> The requester records the departure, reason, duration and controls on F-306-01 Note to File before the work. The Quality Lead approves it, and the PI also approves where 5.3.3 applies. Study-specific notes are filed in the ISF.</w:t>
      </w:r>
    </w:p>
    <w:p>
      <w:pPr>
        <w:tabs>
          <w:tab w:pos="648" w:val="left"/>
        </w:tabs>
        <w:ind w:left="648" w:hanging="648"/>
      </w:pPr>
      <w:r>
        <w:rPr>
          <w:b/>
        </w:rPr>
        <w:t>5.6.2</w:t>
        <w:tab/>
      </w:r>
      <w:r>
        <w:rPr>
          <w:b/>
        </w:rPr>
        <w:t>Unplanned.</w:t>
      </w:r>
      <w:r>
        <w:rPr>
          <w:b w:val="0"/>
        </w:rPr>
        <w:t xml:space="preserve"> The person who finds it reports it to the Quality Lead within the SOP-08, 5.6.1 time. Where it is also a protocol deviation or consent error, the same-day report under SOP-08 or SOP-04 comes first.</w:t>
      </w:r>
    </w:p>
    <w:p>
      <w:pPr>
        <w:tabs>
          <w:tab w:pos="648" w:val="left"/>
        </w:tabs>
        <w:ind w:left="648" w:hanging="648"/>
      </w:pPr>
      <w:r>
        <w:rPr>
          <w:b/>
        </w:rPr>
        <w:t>5.6.3</w:t>
        <w:tab/>
      </w:r>
      <w:r>
        <w:rPr>
          <w:b w:val="0"/>
        </w:rPr>
        <w:t>The Quality Lead assesses whether it is also a protocol deviation (SOP-08), whether safety, rights or data reliability were affected, and whether the SOP is wrong, unclear or untrained. The Quality Lead opens a CAPA on F-703-01, entered on F-703-02, when an SOP-08 trigger is met (for example an effect on safety, rights or data, or recurrence). Repeated planned deviations from one SOP lead to a revision. Trends are reviewed in the quarterly quality review (SOP-14).</w:t>
      </w:r>
    </w:p>
    <w:p>
      <w:pPr>
        <w:pStyle w:val="Heading2"/>
      </w:pPr>
      <w:r>
        <w:t>5.7 Adopting this library</w:t>
      </w:r>
    </w:p>
    <w:p>
      <w:pPr>
        <w:tabs>
          <w:tab w:pos="648" w:val="left"/>
        </w:tabs>
        <w:ind w:left="648" w:hanging="648"/>
      </w:pPr>
      <w:r>
        <w:rPr>
          <w:b/>
        </w:rPr>
        <w:t>5.7.1</w:t>
        <w:tab/>
      </w:r>
      <w:r>
        <w:rPr>
          <w:b w:val="0"/>
        </w:rPr>
        <w:t>Adoption follows the Adoption Guide. The Quality Lead records completion on F-100-03, including the modules adopted and not adopted and the prior site SOPs each new SOP replaces.</w:t>
      </w:r>
    </w:p>
    <w:p>
      <w:pPr>
        <w:tabs>
          <w:tab w:pos="648" w:val="left"/>
        </w:tabs>
        <w:ind w:left="648" w:hanging="648"/>
      </w:pPr>
      <w:r>
        <w:rPr>
          <w:b/>
        </w:rPr>
        <w:t>5.7.2</w:t>
        <w:tab/>
      </w:r>
      <w:r>
        <w:rPr>
          <w:b w:val="0"/>
        </w:rPr>
        <w:t xml:space="preserve">No SOP is made effective with an unresolved placeholder, Site decision or </w:t>
      </w:r>
      <w:r>
        <w:rPr>
          <w:b w:val="0"/>
          <w:highlight w:val="green"/>
        </w:rPr>
        <w:t>[DEFAULT]</w:t>
      </w:r>
      <w:r>
        <w:rPr>
          <w:b w:val="0"/>
        </w:rPr>
        <w:t xml:space="preserve"> marker. Version numbering starts at 1.0.</w:t>
      </w:r>
    </w:p>
    <w:p>
      <w:pPr>
        <w:pStyle w:val="Heading2"/>
      </w:pPr>
      <w:r>
        <w:t>5.8 Qualification file and screening</w:t>
      </w:r>
    </w:p>
    <w:p>
      <w:pPr>
        <w:tabs>
          <w:tab w:pos="648" w:val="left"/>
        </w:tabs>
        <w:ind w:left="648" w:hanging="648"/>
      </w:pPr>
      <w:r>
        <w:rPr>
          <w:b/>
        </w:rPr>
        <w:t>5.8.1</w:t>
        <w:tab/>
      </w:r>
      <w:r>
        <w:rPr>
          <w:b w:val="0"/>
        </w:rPr>
        <w:t>The Quality Lead opens a qualification file at hire and completes F-103-02. As the role requires, it holds:</w:t>
      </w:r>
    </w:p>
    <w:p>
      <w:pPr>
        <w:pStyle w:val="ListBullet"/>
        <w:spacing w:after="40"/>
        <w:ind w:left="1008" w:hanging="259"/>
      </w:pPr>
      <w:r>
        <w:rPr>
          <w:b w:val="0"/>
        </w:rPr>
        <w:t xml:space="preserve">CV signed and dated by the person, current within </w:t>
      </w:r>
      <w:r>
        <w:rPr>
          <w:b w:val="0"/>
          <w:highlight w:val="green"/>
        </w:rPr>
        <w:t>[DEFAULT: 2 years]</w:t>
      </w:r>
      <w:r>
        <w:rPr>
          <w:b w:val="0"/>
        </w:rPr>
        <w:t xml:space="preserve"> or the sponsor's limit, and updated when position, license or research role changes</w:t>
      </w:r>
    </w:p>
    <w:p>
      <w:pPr>
        <w:pStyle w:val="ListBullet"/>
        <w:spacing w:after="40"/>
        <w:ind w:left="1008" w:hanging="259"/>
      </w:pPr>
      <w:r>
        <w:rPr>
          <w:b w:val="0"/>
        </w:rPr>
        <w:t>signed role description and confidentiality agreement (SOP-02)</w:t>
      </w:r>
    </w:p>
    <w:p>
      <w:pPr>
        <w:pStyle w:val="ListBullet"/>
        <w:spacing w:after="40"/>
        <w:ind w:left="1008" w:hanging="259"/>
      </w:pPr>
      <w:r>
        <w:rPr>
          <w:b w:val="0"/>
        </w:rPr>
        <w:t>each required license or certification, with primary-source verification printed or saved with the date checked</w:t>
      </w:r>
    </w:p>
    <w:p>
      <w:pPr>
        <w:pStyle w:val="ListBullet"/>
        <w:spacing w:after="40"/>
        <w:ind w:left="1008" w:hanging="259"/>
      </w:pPr>
      <w:r>
        <w:rPr>
          <w:b w:val="0"/>
        </w:rPr>
        <w:t xml:space="preserve">DEA and any </w:t>
      </w:r>
      <w:r>
        <w:rPr>
          <w:b w:val="0"/>
          <w:highlight w:val="yellow"/>
        </w:rPr>
        <w:t>[STATE]</w:t>
      </w:r>
      <w:r>
        <w:rPr>
          <w:b w:val="0"/>
        </w:rPr>
        <w:t xml:space="preserve"> controlled-substance registration for investigators who prescribe, dispense or order controlled substances</w:t>
      </w:r>
    </w:p>
    <w:p>
      <w:pPr>
        <w:pStyle w:val="ListBullet"/>
        <w:spacing w:after="40"/>
        <w:ind w:left="1008" w:hanging="259"/>
      </w:pPr>
      <w:r>
        <w:rPr>
          <w:b w:val="0"/>
        </w:rPr>
        <w:t>debarment and exclusion results (5.8.3)</w:t>
      </w:r>
    </w:p>
    <w:p>
      <w:pPr>
        <w:pStyle w:val="ListBullet"/>
        <w:spacing w:after="40"/>
        <w:ind w:left="1008" w:hanging="259"/>
      </w:pPr>
      <w:r>
        <w:rPr>
          <w:b w:val="0"/>
        </w:rPr>
        <w:t>GCP, human subjects protection, HIPAA, bloodborne pathogens (29 CFR 1910.1030; annual for exposed staff) and shipping training certificates</w:t>
      </w:r>
    </w:p>
    <w:p>
      <w:pPr>
        <w:pStyle w:val="ListBullet"/>
        <w:spacing w:after="40"/>
        <w:ind w:left="1008" w:hanging="259"/>
      </w:pPr>
      <w:r>
        <w:rPr>
          <w:b w:val="0"/>
        </w:rPr>
        <w:t>life support certification where 5.8.2 requires it</w:t>
      </w:r>
    </w:p>
    <w:p>
      <w:pPr>
        <w:pStyle w:val="ListBullet"/>
        <w:spacing w:after="40"/>
        <w:ind w:left="1008" w:hanging="259"/>
      </w:pPr>
      <w:r>
        <w:rPr>
          <w:b w:val="0"/>
        </w:rPr>
        <w:t>F-100-02 acknowledgments and the F-103-01 Staff Training Log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Decide which roles must hold BLS or ACLS certification (for example all investigators and any staff who dose participants). Record it here: </w:t>
            </w:r>
            <w:r>
              <w:rPr>
                <w:b w:val="0"/>
                <w:sz w:val="20"/>
                <w:highlight w:val="yellow"/>
              </w:rPr>
              <w:t>[LIFE SUPPORT CERTIFICATION REQUIREMENTS]</w:t>
            </w:r>
            <w:r>
              <w:rPr>
                <w:b w:val="0"/>
                <w:sz w:val="20"/>
              </w:rPr>
              <w:t>.</w:t>
            </w:r>
          </w:p>
        </w:tc>
      </w:tr>
    </w:tbl>
    <w:p>
      <w:pPr>
        <w:spacing w:after="0"/>
      </w:pPr>
    </w:p>
    <w:p>
      <w:pPr>
        <w:tabs>
          <w:tab w:pos="648" w:val="left"/>
        </w:tabs>
        <w:ind w:left="648" w:hanging="648"/>
      </w:pPr>
      <w:r>
        <w:rPr>
          <w:b/>
        </w:rPr>
        <w:t>5.8.2</w:t>
        <w:tab/>
      </w:r>
      <w:r>
        <w:rPr>
          <w:b w:val="0"/>
        </w:rPr>
        <w:t xml:space="preserve">The Quality Lead tracks expiry dates and reminds the person </w:t>
      </w:r>
      <w:r>
        <w:rPr>
          <w:b w:val="0"/>
          <w:highlight w:val="green"/>
        </w:rPr>
        <w:t>[DEFAULT: 60 calendar days]</w:t>
      </w:r>
      <w:r>
        <w:rPr>
          <w:b w:val="0"/>
        </w:rPr>
        <w:t xml:space="preserve"> before expiry. A person whose required license or certification lapses stops the dependent tasks the same day, and the PI suspends the related delegation (SOP-02) until renewal is verified. Staff report any license restriction, disciplinary action or government action to the Site Director immediately; the Site Director and PI decide the effect on studies and whether sponsors and the IRB must be told.</w:t>
      </w:r>
    </w:p>
    <w:p>
      <w:pPr>
        <w:tabs>
          <w:tab w:pos="648" w:val="left"/>
        </w:tabs>
        <w:ind w:left="648" w:hanging="648"/>
      </w:pPr>
      <w:r>
        <w:rPr>
          <w:b/>
        </w:rPr>
        <w:t>5.8.3</w:t>
        <w:tab/>
      </w:r>
      <w:r>
        <w:rPr>
          <w:b w:val="0"/>
        </w:rPr>
        <w:t xml:space="preserve">At hire and at least </w:t>
      </w:r>
      <w:r>
        <w:rPr>
          <w:b w:val="0"/>
          <w:highlight w:val="green"/>
        </w:rPr>
        <w:t>[DEFAULT: annually]</w:t>
      </w:r>
      <w:r>
        <w:rPr>
          <w:b w:val="0"/>
        </w:rPr>
        <w:t>, the Quality Lead screens each person against the FDA Debarment List, the FDA Clinical Investigators Disqualification Proceedings list and the HHS OIG List of Excluded Individuals/Entities. Each search is recorded with date, lists, name searched, result and screener initials, with a dated printout or screenshot, filed in the qualification file and tracked on F-103-02. This is site practice supporting the debarment certifications in clinical trial agreements; no FDA regulation requires it.</w:t>
      </w:r>
    </w:p>
    <w:p>
      <w:pPr>
        <w:tabs>
          <w:tab w:pos="648" w:val="left"/>
        </w:tabs>
        <w:ind w:left="648" w:hanging="648"/>
      </w:pPr>
      <w:r>
        <w:rPr>
          <w:b/>
        </w:rPr>
        <w:t>5.8.4</w:t>
        <w:tab/>
      </w:r>
      <w:r>
        <w:rPr>
          <w:b w:val="0"/>
        </w:rPr>
        <w:t xml:space="preserve">For a possible match, the screener confirms identity with other identifiers. A confirmed match is reported the same day to the Site Director, the person stops study tasks until resolved, and the Site Director, with </w:t>
      </w:r>
      <w:r>
        <w:rPr>
          <w:b w:val="0"/>
          <w:highlight w:val="yellow"/>
        </w:rPr>
        <w:t>[LEGAL COUNSEL]</w:t>
      </w:r>
      <w:r>
        <w:rPr>
          <w:b w:val="0"/>
        </w:rPr>
        <w:t>, decides next steps and notifies sponsors and IRBs as agreements and policy require.</w:t>
      </w:r>
    </w:p>
    <w:p>
      <w:pPr>
        <w:tabs>
          <w:tab w:pos="648" w:val="left"/>
        </w:tabs>
        <w:ind w:left="648" w:hanging="648"/>
      </w:pPr>
      <w:r>
        <w:rPr>
          <w:b/>
        </w:rPr>
        <w:t>5.8.5</w:t>
        <w:tab/>
      </w:r>
      <w:r>
        <w:rPr>
          <w:b w:val="0"/>
        </w:rPr>
        <w:t>Copies sent to sponsors (CV, license, GCP certificate) are filed in the ISF by the Regulatory Coordinator, with personal data the sponsor does not need redacted.</w:t>
      </w:r>
    </w:p>
    <w:p>
      <w:pPr>
        <w:pStyle w:val="Heading2"/>
      </w:pPr>
      <w:r>
        <w:t>5.9 Required training</w:t>
      </w:r>
    </w:p>
    <w:p>
      <w:pPr>
        <w:tabs>
          <w:tab w:pos="648" w:val="left"/>
        </w:tabs>
        <w:ind w:left="648" w:hanging="648"/>
      </w:pPr>
      <w:r>
        <w:rPr>
          <w:b/>
        </w:rPr>
        <w:t>5.9.1</w:t>
        <w:tab/>
      </w:r>
      <w:r>
        <w:rPr>
          <w:b/>
        </w:rPr>
        <w:t>Curricula.</w:t>
      </w:r>
      <w:r>
        <w:rPr>
          <w:b w:val="0"/>
        </w:rPr>
        <w:t xml:space="preserve"> The Quality Lead sets a role-based curriculum for each role on F-102-01 and updates it when an SOP, role, regulation or sponsor requirement changes.</w:t>
      </w:r>
    </w:p>
    <w:p>
      <w:pPr>
        <w:tabs>
          <w:tab w:pos="648" w:val="left"/>
        </w:tabs>
        <w:ind w:left="648" w:hanging="648"/>
      </w:pPr>
      <w:r>
        <w:rPr>
          <w:b/>
        </w:rPr>
        <w:t>5.9.2</w:t>
        <w:tab/>
      </w:r>
      <w:r>
        <w:rPr>
          <w:b/>
        </w:rPr>
        <w:t>GCP.</w:t>
      </w:r>
      <w:r>
        <w:rPr>
          <w:b w:val="0"/>
        </w:rPr>
        <w:t xml:space="preserve"> Each person on a delegation log completes GCP training before any delegated task, from a course meeting the TransCelerate mutual recognition minimum criteria or another course the sponsor accepts, and repeats it at least every </w:t>
      </w:r>
      <w:r>
        <w:rPr>
          <w:b w:val="0"/>
          <w:highlight w:val="green"/>
        </w:rPr>
        <w:t>[DEFAULT: 3 years]</w:t>
      </w:r>
      <w:r>
        <w:rPr>
          <w:b w:val="0"/>
        </w:rPr>
        <w:t xml:space="preserve"> (sponsor convention, not regulation). Staff with an ICH E6(R2)-based certificate complete an E6(R3) update at their next refresher. Device study staff complete device GCP content (21 CFR 812, ISO 14155) when the sponsor requires it.</w:t>
      </w:r>
    </w:p>
    <w:p>
      <w:pPr>
        <w:tabs>
          <w:tab w:pos="648" w:val="left"/>
        </w:tabs>
        <w:ind w:left="648" w:hanging="648"/>
      </w:pPr>
      <w:r>
        <w:rPr>
          <w:b/>
        </w:rPr>
        <w:t>5.9.3</w:t>
        <w:tab/>
      </w:r>
      <w:r>
        <w:rPr>
          <w:b/>
        </w:rPr>
        <w:t>Human subjects protection.</w:t>
      </w:r>
      <w:r>
        <w:rPr>
          <w:b w:val="0"/>
        </w:rPr>
        <w:t xml:space="preserve"> Completed when the IRB, sponsor or federal funding terms require it, at the frequency they set, or with the GCP refresher (5.9.2) if none is set.</w:t>
      </w:r>
    </w:p>
    <w:p>
      <w:pPr>
        <w:tabs>
          <w:tab w:pos="648" w:val="left"/>
        </w:tabs>
        <w:ind w:left="648" w:hanging="648"/>
      </w:pPr>
      <w:r>
        <w:rPr>
          <w:b/>
        </w:rPr>
        <w:t>5.9.4</w:t>
        <w:tab/>
      </w:r>
      <w:r>
        <w:rPr>
          <w:b/>
        </w:rPr>
        <w:t>SOP training.</w:t>
      </w:r>
      <w:r>
        <w:rPr>
          <w:b w:val="0"/>
        </w:rPr>
        <w:t xml:space="preserve"> Completed under 5.4 before the person performs the tasks an SOP covers.</w:t>
      </w:r>
    </w:p>
    <w:p>
      <w:pPr>
        <w:tabs>
          <w:tab w:pos="648" w:val="left"/>
        </w:tabs>
        <w:ind w:left="648" w:hanging="648"/>
      </w:pPr>
      <w:r>
        <w:rPr>
          <w:b/>
        </w:rPr>
        <w:t>5.9.5</w:t>
        <w:tab/>
      </w:r>
      <w:r>
        <w:rPr>
          <w:b/>
        </w:rPr>
        <w:t>Supervised work.</w:t>
      </w:r>
      <w:r>
        <w:rPr>
          <w:b w:val="0"/>
        </w:rPr>
        <w:t xml:space="preserve"> A new hire may perform a task under direct supervision while training on it is in progress, with the supervisor named on F-103-01. This never applies to obtaining consent, confirming eligibility, AE assessment, or IP preparation and dispensing, which need completed training and delegation first.</w:t>
      </w:r>
    </w:p>
    <w:p>
      <w:pPr>
        <w:tabs>
          <w:tab w:pos="648" w:val="left"/>
        </w:tabs>
        <w:ind w:left="648" w:hanging="648"/>
      </w:pPr>
      <w:r>
        <w:rPr>
          <w:b/>
        </w:rPr>
        <w:t>5.9.6</w:t>
        <w:tab/>
      </w:r>
      <w:r>
        <w:rPr>
          <w:b/>
        </w:rPr>
        <w:t>Protocol training.</w:t>
      </w:r>
      <w:r>
        <w:rPr>
          <w:b w:val="0"/>
        </w:rPr>
        <w:t xml:space="preserve"> The PI or Lead CRC trains each person on the protocol sections, manuals, consent form (for consenters), safety reporting and the person's tasks before the PI delegates them (ICH E6(R3) Annex 1, 2.3.2). Sponsor training (SIV, investigator meeting, web training) counts when completion is recorded. Amendments, revised manuals and new consent versions are trained before the changed procedures are performed.</w:t>
      </w:r>
    </w:p>
    <w:p>
      <w:pPr>
        <w:tabs>
          <w:tab w:pos="648" w:val="left"/>
        </w:tabs>
        <w:ind w:left="648" w:hanging="648"/>
      </w:pPr>
      <w:r>
        <w:rPr>
          <w:b/>
        </w:rPr>
        <w:t>5.9.7</w:t>
        <w:tab/>
      </w:r>
      <w:r>
        <w:rPr>
          <w:b/>
        </w:rPr>
        <w:t>Proportionate training.</w:t>
      </w:r>
      <w:r>
        <w:rPr>
          <w:b w:val="0"/>
        </w:rPr>
        <w:t xml:space="preserve"> Study-specific training covers tasks that go beyond the person's usual training and experience or that the protocol performs differently from routine practice. Where the PI or Lead CRC decides a task is routine practice, they record that determination on F-103-01 (for example "routine practice; protocol-specific elements X and Y trained on </w:t>
      </w:r>
      <w:r>
        <w:rPr>
          <w:b w:val="0"/>
          <w:highlight w:val="yellow"/>
        </w:rPr>
        <w:t>[DATE]</w:t>
      </w:r>
      <w:r>
        <w:rPr>
          <w:b w:val="0"/>
        </w:rPr>
        <w:t>").</w:t>
      </w:r>
    </w:p>
    <w:p>
      <w:pPr>
        <w:tabs>
          <w:tab w:pos="648" w:val="left"/>
        </w:tabs>
        <w:ind w:left="648" w:hanging="648"/>
      </w:pPr>
      <w:r>
        <w:rPr>
          <w:b/>
        </w:rPr>
        <w:t>5.9.8</w:t>
        <w:tab/>
      </w:r>
      <w:r>
        <w:rPr>
          <w:b/>
        </w:rPr>
        <w:t>Systems.</w:t>
      </w:r>
      <w:r>
        <w:rPr>
          <w:b w:val="0"/>
        </w:rPr>
        <w:t xml:space="preserve"> Staff complete training on each computerized system before receiving access, and again after a major change that affects their use (SOP-12). Sponsor system certificates are filed in the ISF.</w:t>
      </w:r>
    </w:p>
    <w:p>
      <w:pPr>
        <w:tabs>
          <w:tab w:pos="648" w:val="left"/>
        </w:tabs>
        <w:ind w:left="648" w:hanging="648"/>
      </w:pPr>
      <w:r>
        <w:rPr>
          <w:b/>
        </w:rPr>
        <w:t>5.9.9</w:t>
        <w:tab/>
      </w:r>
      <w:r>
        <w:rPr>
          <w:b/>
        </w:rPr>
        <w:t>Shipping.</w:t>
      </w:r>
      <w:r>
        <w:rPr>
          <w:b w:val="0"/>
        </w:rPr>
        <w:t xml:space="preserve"> Any person who classifies, packages, marks, labels or signs for UN3373, UN1845 (dry ice) or other dangerous goods shipments is trained as a hazmat employee (site practice; 49 CFR 172.704, 173.199(e); IATA DGR): DOT training within 90 days of starting the function (working only under direct supervision until then) and at least every 3 years, and IATA training within 24 months of the previous training for air shipments. Until trained, the person does not package or sign shipments alone. The DOT training record shows name, completion date, a description or copy of the materials, the trainer's name and address, and certification that the person was trained and tested, covering the preceding 3 years and kept for 90 days after the person stops hazmat work (49 CFR 172.704(d)). Shipping steps are in SOP-11.</w:t>
      </w:r>
    </w:p>
    <w:p>
      <w:pPr>
        <w:pStyle w:val="Heading2"/>
      </w:pPr>
      <w:r>
        <w:t>5.10 Competency checks</w:t>
      </w:r>
    </w:p>
    <w:p>
      <w:pPr>
        <w:tabs>
          <w:tab w:pos="648" w:val="left"/>
        </w:tabs>
        <w:ind w:left="648" w:hanging="648"/>
      </w:pPr>
      <w:r>
        <w:rPr>
          <w:b/>
        </w:rPr>
        <w:t>5.10.1</w:t>
        <w:tab/>
      </w:r>
      <w:r>
        <w:rPr>
          <w:b w:val="0"/>
        </w:rPr>
        <w:t>Each curriculum lists the tasks needing a documented competency check. At minimum: obtaining consent (</w:t>
      </w:r>
      <w:r>
        <w:rPr>
          <w:b w:val="0"/>
          <w:highlight w:val="green"/>
        </w:rPr>
        <w:t>[DEFAULT: one observed consent and one consent conducted under observation]</w:t>
      </w:r>
      <w:r>
        <w:rPr>
          <w:b w:val="0"/>
        </w:rPr>
        <w:t xml:space="preserve"> before consenting alone); phlebotomy and specimen processing; vital signs and ECG per protocol; IP preparation, dispensing and accountability; and protocol rating scales where the sponsor requires rater certification (the sponsor certificate is the record).</w:t>
      </w:r>
    </w:p>
    <w:p>
      <w:pPr>
        <w:tabs>
          <w:tab w:pos="648" w:val="left"/>
        </w:tabs>
        <w:ind w:left="648" w:hanging="648"/>
      </w:pPr>
      <w:r>
        <w:rPr>
          <w:b/>
        </w:rPr>
        <w:t>5.10.2</w:t>
        <w:tab/>
      </w:r>
      <w:r>
        <w:rPr>
          <w:b w:val="0"/>
        </w:rPr>
        <w:t>The assessor is already qualified in the task and records the task, result (competent or needs retraining), date and signature on F-103-01.</w:t>
      </w:r>
    </w:p>
    <w:p>
      <w:pPr>
        <w:tabs>
          <w:tab w:pos="648" w:val="left"/>
        </w:tabs>
        <w:ind w:left="648" w:hanging="648"/>
      </w:pPr>
      <w:r>
        <w:rPr>
          <w:b/>
        </w:rPr>
        <w:t>5.10.3</w:t>
        <w:tab/>
      </w:r>
      <w:r>
        <w:rPr>
          <w:b w:val="0"/>
        </w:rPr>
        <w:t>When a deviation, monitoring or audit finding or CAPA points to a training gap, the Quality Lead or PI orders retraining and a repeat check, recorded on F-103-01 with the CAPA number.</w:t>
      </w:r>
    </w:p>
    <w:p>
      <w:pPr>
        <w:pStyle w:val="Heading2"/>
      </w:pPr>
      <w:r>
        <w:t>5.11 Training records and readiness</w:t>
      </w:r>
    </w:p>
    <w:p>
      <w:pPr>
        <w:tabs>
          <w:tab w:pos="648" w:val="left"/>
        </w:tabs>
        <w:ind w:left="648" w:hanging="648"/>
      </w:pPr>
      <w:r>
        <w:rPr>
          <w:b/>
        </w:rPr>
        <w:t>5.11.1</w:t>
        <w:tab/>
      </w:r>
      <w:r>
        <w:rPr>
          <w:b w:val="0"/>
        </w:rPr>
        <w:t>Every training event is recorded on F-103-01, a sponsor training log or a training system capturing the same data: trainee, topic and document identifier with version, date, method, trainer or provider, and trainee signature or electronic acknowledgment. Records are made at the time; late entries carry the date made and the reason.</w:t>
      </w:r>
    </w:p>
    <w:p>
      <w:pPr>
        <w:tabs>
          <w:tab w:pos="648" w:val="left"/>
        </w:tabs>
        <w:ind w:left="648" w:hanging="648"/>
      </w:pPr>
      <w:r>
        <w:rPr>
          <w:b/>
        </w:rPr>
        <w:t>5.11.2</w:t>
        <w:tab/>
      </w:r>
      <w:r>
        <w:rPr>
          <w:b w:val="0"/>
        </w:rPr>
        <w:t>External certificates go in the qualification file; study-specific training records go in the ISF.</w:t>
      </w:r>
    </w:p>
    <w:p>
      <w:pPr>
        <w:tabs>
          <w:tab w:pos="648" w:val="left"/>
        </w:tabs>
        <w:ind w:left="648" w:hanging="648"/>
      </w:pPr>
      <w:r>
        <w:rPr>
          <w:b/>
        </w:rPr>
        <w:t>5.11.3</w:t>
        <w:tab/>
      </w:r>
      <w:r>
        <w:rPr>
          <w:b w:val="0"/>
        </w:rPr>
        <w:t>The Quality Lead reviews the qualification file against F-103-02 at hire and when the person is added to a new study. Before each sponsor qualification visit, initiation visit and inspection, the Regulatory Coordinator confirms the CV, license and GCP certificate of each person on the delegation log are current and filed. Overdue training and expiring credentials are reported in the quarterly quality review (SOP-14).</w:t>
      </w:r>
    </w:p>
    <w:p>
      <w:pPr>
        <w:tabs>
          <w:tab w:pos="648" w:val="left"/>
        </w:tabs>
        <w:ind w:left="648" w:hanging="648"/>
      </w:pPr>
      <w:r>
        <w:rPr>
          <w:b/>
        </w:rPr>
        <w:t>5.11.4</w:t>
        <w:tab/>
      </w:r>
      <w:r>
        <w:rPr>
          <w:b w:val="0"/>
        </w:rPr>
        <w:t>Qualification files and training records are kept for at least the retention period of every study the person worked on (SOP-12), including after the person leaves.</w:t>
      </w:r>
    </w:p>
    <w:p>
      <w:pPr>
        <w:pStyle w:val="Heading1"/>
      </w:pPr>
      <w:r>
        <w:t>6. Related Forms and SOPs</w:t>
      </w:r>
    </w:p>
    <w:p>
      <w:pPr>
        <w:pStyle w:val="ListBullet"/>
        <w:spacing w:after="40"/>
        <w:ind w:left="360" w:hanging="259"/>
      </w:pPr>
      <w:r>
        <w:rPr>
          <w:b w:val="0"/>
        </w:rPr>
        <w:t>F-100-01 SOP Review and Approval Record</w:t>
      </w:r>
    </w:p>
    <w:p>
      <w:pPr>
        <w:pStyle w:val="ListBullet"/>
        <w:spacing w:after="40"/>
        <w:ind w:left="360" w:hanging="259"/>
      </w:pPr>
      <w:r>
        <w:rPr>
          <w:b w:val="0"/>
        </w:rPr>
        <w:t>F-100-02 SOP Training Acknowledgment</w:t>
      </w:r>
    </w:p>
    <w:p>
      <w:pPr>
        <w:pStyle w:val="ListBullet"/>
        <w:spacing w:after="40"/>
        <w:ind w:left="360" w:hanging="259"/>
      </w:pPr>
      <w:r>
        <w:rPr>
          <w:b w:val="0"/>
        </w:rPr>
        <w:t>F-100-03 SOP Master Index and Review Schedule</w:t>
      </w:r>
    </w:p>
    <w:p>
      <w:pPr>
        <w:pStyle w:val="ListBullet"/>
        <w:spacing w:after="40"/>
        <w:ind w:left="360" w:hanging="259"/>
      </w:pPr>
      <w:r>
        <w:rPr>
          <w:b w:val="0"/>
        </w:rPr>
        <w:t>F-102-01 Site Organization Chart and Role Assignment Record</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F-306-01 Note to File</w:t>
      </w:r>
    </w:p>
    <w:p>
      <w:pPr>
        <w:pStyle w:val="ListBullet"/>
        <w:spacing w:after="40"/>
        <w:ind w:left="360" w:hanging="259"/>
      </w:pPr>
      <w:r>
        <w:rPr>
          <w:b w:val="0"/>
        </w:rPr>
        <w:t>F-702-01 Inspection Request and Document Log</w:t>
      </w:r>
    </w:p>
    <w:p>
      <w:pPr>
        <w:pStyle w:val="ListBullet"/>
        <w:spacing w:after="40"/>
        <w:ind w:left="360" w:hanging="259"/>
      </w:pPr>
      <w:r>
        <w:rPr>
          <w:b w:val="0"/>
        </w:rPr>
        <w:t>F-703-01 CAPA Record</w:t>
      </w:r>
    </w:p>
    <w:p>
      <w:pPr>
        <w:pStyle w:val="ListBullet"/>
        <w:spacing w:after="40"/>
        <w:ind w:left="360" w:hanging="259"/>
      </w:pPr>
      <w:r>
        <w:rPr>
          <w:b w:val="0"/>
        </w:rPr>
        <w:t>F-703-02 CAPA Log</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SOP-06 Investigational Product Management</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Principles 5, 6 and 10</w:t>
            </w:r>
          </w:p>
        </w:tc>
        <w:tc>
          <w:tcPr>
            <w:tcW w:type="dxa" w:w="6946"/>
          </w:tcPr>
          <w:p>
            <w:pPr>
              <w:spacing w:after="0"/>
            </w:pPr>
            <w:r>
              <w:rPr>
                <w:b w:val="0"/>
                <w:sz w:val="19"/>
              </w:rPr>
              <w:t>Qualified individuals; quality by design; clear, documented roles</w:t>
            </w:r>
          </w:p>
        </w:tc>
      </w:tr>
      <w:tr>
        <w:trPr>
          <w:cantSplit w:val="true"/>
        </w:trPr>
        <w:tc>
          <w:tcPr>
            <w:tcW w:type="dxa" w:w="2701"/>
          </w:tcPr>
          <w:p>
            <w:pPr>
              <w:spacing w:after="0"/>
            </w:pPr>
            <w:r>
              <w:rPr>
                <w:b w:val="0"/>
                <w:sz w:val="19"/>
              </w:rPr>
              <w:t>ICH E6(R3) Annex 1, 2.1 and 2.3.2</w:t>
            </w:r>
          </w:p>
        </w:tc>
        <w:tc>
          <w:tcPr>
            <w:tcW w:type="dxa" w:w="6946"/>
          </w:tcPr>
          <w:p>
            <w:pPr>
              <w:spacing w:after="0"/>
            </w:pPr>
            <w:r>
              <w:rPr>
                <w:b w:val="0"/>
                <w:sz w:val="19"/>
              </w:rPr>
              <w:t>Investigator qualifications and training; qualified and informed delegates</w:t>
            </w:r>
          </w:p>
        </w:tc>
      </w:tr>
      <w:tr>
        <w:trPr>
          <w:cantSplit w:val="true"/>
        </w:trPr>
        <w:tc>
          <w:tcPr>
            <w:tcW w:type="dxa" w:w="2701"/>
          </w:tcPr>
          <w:p>
            <w:pPr>
              <w:spacing w:after="0"/>
            </w:pPr>
            <w:r>
              <w:rPr>
                <w:b w:val="0"/>
                <w:sz w:val="19"/>
              </w:rPr>
              <w:t>ICH E6(R3) Annex 1, 4.3.2</w:t>
            </w:r>
          </w:p>
        </w:tc>
        <w:tc>
          <w:tcPr>
            <w:tcW w:type="dxa" w:w="6946"/>
          </w:tcPr>
          <w:p>
            <w:pPr>
              <w:spacing w:after="0"/>
            </w:pPr>
            <w:r>
              <w:rPr>
                <w:b w:val="0"/>
                <w:sz w:val="19"/>
              </w:rPr>
              <w:t>Computerised systems: training</w:t>
            </w:r>
          </w:p>
        </w:tc>
      </w:tr>
      <w:tr>
        <w:trPr>
          <w:cantSplit w:val="true"/>
        </w:trPr>
        <w:tc>
          <w:tcPr>
            <w:tcW w:type="dxa" w:w="2701"/>
          </w:tcPr>
          <w:p>
            <w:pPr>
              <w:spacing w:after="0"/>
            </w:pPr>
            <w:r>
              <w:rPr>
                <w:b w:val="0"/>
                <w:sz w:val="19"/>
              </w:rPr>
              <w:t>ICH E6(R3) Appendix C, C.2.1 and C.2.12</w:t>
            </w:r>
          </w:p>
        </w:tc>
        <w:tc>
          <w:tcPr>
            <w:tcW w:type="dxa" w:w="6946"/>
          </w:tcPr>
          <w:p>
            <w:pPr>
              <w:spacing w:after="0"/>
            </w:pPr>
            <w:r>
              <w:rPr>
                <w:b w:val="0"/>
                <w:sz w:val="19"/>
              </w:rPr>
              <w:t>Essential records: version control; SOPs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312.53(c); 812.43(c)</w:t>
            </w:r>
          </w:p>
        </w:tc>
        <w:tc>
          <w:tcPr>
            <w:tcW w:type="dxa" w:w="6946"/>
          </w:tcPr>
          <w:p>
            <w:pPr>
              <w:spacing w:after="0"/>
            </w:pPr>
            <w:r>
              <w:rPr>
                <w:b w:val="0"/>
                <w:sz w:val="19"/>
              </w:rPr>
              <w:t>Investigator qualifications (Form FDA 1572; investigator agreements)</w:t>
            </w:r>
          </w:p>
        </w:tc>
      </w:tr>
      <w:tr>
        <w:trPr>
          <w:cantSplit w:val="true"/>
        </w:trPr>
        <w:tc>
          <w:tcPr>
            <w:tcW w:type="dxa" w:w="2701"/>
          </w:tcPr>
          <w:p>
            <w:pPr>
              <w:spacing w:after="0"/>
            </w:pPr>
            <w:r>
              <w:rPr>
                <w:b w:val="0"/>
                <w:sz w:val="19"/>
              </w:rPr>
              <w:t>21 CFR 312.60;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49 CFR 172.704; 173.199</w:t>
            </w:r>
          </w:p>
        </w:tc>
        <w:tc>
          <w:tcPr>
            <w:tcW w:type="dxa" w:w="6946"/>
          </w:tcPr>
          <w:p>
            <w:pPr>
              <w:spacing w:after="0"/>
            </w:pPr>
            <w:r>
              <w:rPr>
                <w:b w:val="0"/>
                <w:sz w:val="19"/>
              </w:rPr>
              <w:t>Hazmat training; Category B infectious substances</w:t>
            </w:r>
          </w:p>
        </w:tc>
      </w:tr>
      <w:tr>
        <w:trPr>
          <w:cantSplit w:val="true"/>
        </w:trPr>
        <w:tc>
          <w:tcPr>
            <w:tcW w:type="dxa" w:w="2701"/>
          </w:tcPr>
          <w:p>
            <w:pPr>
              <w:spacing w:after="0"/>
            </w:pPr>
            <w:r>
              <w:rPr>
                <w:b w:val="0"/>
                <w:sz w:val="19"/>
              </w:rPr>
              <w:t>IATA Dangerous Goods Regulations (current edition)</w:t>
            </w:r>
          </w:p>
        </w:tc>
        <w:tc>
          <w:tcPr>
            <w:tcW w:type="dxa" w:w="6946"/>
          </w:tcPr>
          <w:p>
            <w:pPr>
              <w:spacing w:after="0"/>
            </w:pPr>
            <w:r>
              <w:rPr>
                <w:b w:val="0"/>
                <w:sz w:val="19"/>
              </w:rPr>
              <w:t>Shipper training</w:t>
            </w:r>
          </w:p>
        </w:tc>
      </w:tr>
      <w:tr>
        <w:trPr>
          <w:cantSplit w:val="true"/>
        </w:trPr>
        <w:tc>
          <w:tcPr>
            <w:tcW w:type="dxa" w:w="2701"/>
          </w:tcPr>
          <w:p>
            <w:pPr>
              <w:spacing w:after="0"/>
            </w:pPr>
            <w:r>
              <w:rPr>
                <w:b w:val="0"/>
                <w:sz w:val="19"/>
              </w:rPr>
              <w:t>29 CFR 1910.1030</w:t>
            </w:r>
          </w:p>
        </w:tc>
        <w:tc>
          <w:tcPr>
            <w:tcW w:type="dxa" w:w="6946"/>
          </w:tcPr>
          <w:p>
            <w:pPr>
              <w:spacing w:after="0"/>
            </w:pPr>
            <w:r>
              <w:rPr>
                <w:b w:val="0"/>
                <w:sz w:val="19"/>
              </w:rPr>
              <w:t>Bloodborne Pathogens</w:t>
            </w:r>
          </w:p>
        </w:tc>
      </w:tr>
      <w:tr>
        <w:trPr>
          <w:cantSplit w:val="true"/>
        </w:trPr>
        <w:tc>
          <w:tcPr>
            <w:tcW w:type="dxa" w:w="2701"/>
          </w:tcPr>
          <w:p>
            <w:pPr>
              <w:spacing w:after="0"/>
            </w:pPr>
            <w:r>
              <w:rPr>
                <w:b w:val="0"/>
                <w:sz w:val="19"/>
              </w:rPr>
              <w:t>45 CFR 164.530(b)</w:t>
            </w:r>
          </w:p>
        </w:tc>
        <w:tc>
          <w:tcPr>
            <w:tcW w:type="dxa" w:w="6946"/>
          </w:tcPr>
          <w:p>
            <w:pPr>
              <w:spacing w:after="0"/>
            </w:pPr>
            <w:r>
              <w:rPr>
                <w:b w:val="0"/>
                <w:sz w:val="19"/>
              </w:rPr>
              <w:t>HIPAA workforce training</w:t>
            </w:r>
          </w:p>
        </w:tc>
      </w:tr>
      <w:tr>
        <w:trPr>
          <w:cantSplit w:val="true"/>
        </w:trPr>
        <w:tc>
          <w:tcPr>
            <w:tcW w:type="dxa" w:w="2701"/>
          </w:tcPr>
          <w:p>
            <w:pPr>
              <w:spacing w:after="0"/>
            </w:pPr>
            <w:r>
              <w:rPr>
                <w:b w:val="0"/>
                <w:sz w:val="19"/>
              </w:rPr>
              <w:t>TransCelerate BioPharma</w:t>
            </w:r>
          </w:p>
        </w:tc>
        <w:tc>
          <w:tcPr>
            <w:tcW w:type="dxa" w:w="6946"/>
          </w:tcPr>
          <w:p>
            <w:pPr>
              <w:spacing w:after="0"/>
            </w:pPr>
            <w:r>
              <w:rPr>
                <w:b w:val="0"/>
                <w:sz w:val="19"/>
              </w:rPr>
              <w:t>GCP Training Mutual Recognition: minimum criteria</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r>
        <w:trPr>
          <w:cantSplit w:val="true"/>
        </w:trPr>
        <w:tc>
          <w:tcPr>
            <w:tcW w:type="dxa" w:w="2701"/>
          </w:tcPr>
          <w:p>
            <w:pPr>
              <w:spacing w:after="0"/>
            </w:pPr>
            <w:r>
              <w:rPr>
                <w:b w:val="0"/>
                <w:sz w:val="19"/>
              </w:rPr>
              <w:t>Reference Edition SOP-100 and SOP-103</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SOP-01 SOP Control, Training and Qualification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SOP-01 SOP Control, Training and Qualification</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