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Lean Edition</w:t>
      </w:r>
    </w:p>
    <w:p>
      <w:pPr>
        <w:pStyle w:val="Title"/>
        <w:pBdr>
          <w:bottom w:val="single" w:sz="12" w:space="1" w:color="1F3864"/>
        </w:pBdr>
        <w:spacing w:after="120"/>
      </w:pPr>
      <w:r>
        <w:rPr>
          <w:b w:val="0"/>
          <w:color w:val="1F3864"/>
          <w:sz w:val="36"/>
        </w:rPr>
        <w:t>Adoption Guide (Lean Edition)</w:t>
      </w:r>
    </w:p>
    <w:p>
      <w:pPr>
        <w:pStyle w:val="Heading1"/>
      </w:pPr>
      <w:r>
        <w:t>Status and use</w:t>
      </w:r>
    </w:p>
    <w:p>
      <w:pPr/>
      <w:r>
        <w:rPr>
          <w:b/>
        </w:rPr>
        <w:t>What this is.</w:t>
      </w:r>
      <w:r>
        <w:rPr>
          <w:b w:val="0"/>
        </w:rPr>
        <w:t xml:space="preserve"> A configurable template set of 16 core SOPs, 6 optional modules, forms and guides for a small independent US clinical research site running FDA-regulated drug, biologic and device trials, written to the regulatory baseline of 23 October 2026 (see the Regulatory Currency Note). It is condensed from the full Reference Edition (48 SOPs), which stays available for background and wording. Most independent sites also adopt SOP-M1 (any site using an outside laboratory, courier or IT or eReg vendor) and SOP-M2 (any site negotiating its own contracts), so a typical site adopts 18 to 19 SOPs (16 core plus its modules). Networks add the separate Network Edition.</w:t>
      </w:r>
    </w:p>
    <w:p>
      <w:pPr/>
      <w:r>
        <w:rPr>
          <w:b/>
        </w:rPr>
        <w:t>Review status.</w:t>
      </w:r>
      <w:r>
        <w:rPr>
          <w:b w:val="0"/>
        </w:rPr>
        <w:t xml:space="preserve"> The Lean Edition was condensed on 1 November 2026 from the Reference Edition, which had a citation audit, scenario walkthroughs and a structured adversarial expert review. The Lean text itself has had one structured adversarial expert review and the fixes it called for. As of 1 November 2026 it has not been reviewed by counsel or by a practicing site QA lead, and no site has adopted it. These statements describe the published template, not a site's adopted copy.</w:t>
      </w:r>
    </w:p>
    <w:p>
      <w:pPr/>
      <w:r>
        <w:rPr>
          <w:b/>
        </w:rPr>
        <w:t>Publisher and updates.</w:t>
      </w:r>
      <w:r>
        <w:rPr>
          <w:b w:val="0"/>
        </w:rPr>
        <w:t xml:space="preserve"> Published by the American Institute for Medical Research (AIMR). Updates and feedback: aimronline.org/sops. Release notes for each new release are posted there; a new release does not change a site's adopted SOPs until the site revises them under SOP-01.</w:t>
      </w:r>
    </w:p>
    <w:p>
      <w:pPr/>
      <w:r>
        <w:rPr>
          <w:b/>
        </w:rPr>
        <w:t>License.</w:t>
      </w:r>
      <w:r>
        <w:rPr>
          <w:b w:val="0"/>
        </w:rPr>
        <w:t xml:space="preserve"> Licensed under CC BY-NC 4.0 with an added permission: any research site, network or institution, including for-profit organizations, may copy, adapt and use these templates as its own internal procedures to run its own research operations. Selling, licensing or repackaging the templates, or delivering them as a paid consulting deliverable, requires written permission from AIMR. Attribution: 'Adapted from the Independent Site SOP Library by the American Institute for Medical Research (AIMR), aimronline.org/sops, CC BY-NC 4.0' (may be kept in the site's SOP master index).</w:t>
      </w:r>
    </w:p>
    <w:p>
      <w:pPr/>
      <w:r>
        <w:rPr>
          <w:b/>
        </w:rPr>
        <w:t>What it covers and excludes.</w:t>
      </w:r>
      <w:r>
        <w:rPr>
          <w:b w:val="0"/>
        </w:rPr>
        <w:t xml:space="preserve"> Written for industry-sponsored studies at a single site. Optional modules cover vendors, feasibility and contracting, recruitment, decentralized elements, research integrity reporting and sponsor-investigator studies. Excluded: Phase 1 units, oncology and radiation specifics, gene therapy and IBC, pharmacy compounding, and non-US trials.</w:t>
      </w:r>
    </w:p>
    <w:p>
      <w:pPr/>
      <w:r>
        <w:rPr>
          <w:b/>
        </w:rPr>
        <w:t>Who owns it once adopted.</w:t>
      </w:r>
      <w:r>
        <w:rPr>
          <w:b w:val="0"/>
        </w:rPr>
        <w:t xml:space="preserve"> Once </w:t>
      </w:r>
      <w:r>
        <w:rPr>
          <w:b w:val="0"/>
          <w:highlight w:val="yellow"/>
        </w:rPr>
        <w:t>[SITE NAME]</w:t>
      </w:r>
      <w:r>
        <w:rPr>
          <w:b w:val="0"/>
        </w:rPr>
        <w:t xml:space="preserve"> approves these documents they are the site's own SOPs. Every step is a commitment an auditor can test, so change or remove any step the site will not follow before approval.</w:t>
      </w:r>
    </w:p>
    <w:p>
      <w:pPr/>
      <w:r>
        <w:rPr>
          <w:b w:val="0"/>
        </w:rPr>
        <w:t>These templates describe operating procedures. They do not give legal advice. Each adopting site confirms state law (Appendix A), IRB and sponsor requirements, and any legal or contracting position with its own counsel before approval.</w:t>
      </w:r>
    </w:p>
    <w:p>
      <w:pPr>
        <w:pStyle w:val="Heading1"/>
      </w:pPr>
      <w:r>
        <w:t>1. What is included</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Part</w:t>
            </w:r>
          </w:p>
        </w:tc>
        <w:tc>
          <w:tcPr>
            <w:tcW w:type="dxa" w:w="6946"/>
            <w:shd w:val="clear" w:color="auto" w:fill="D9E2F3"/>
          </w:tcPr>
          <w:p>
            <w:pPr>
              <w:keepNext/>
              <w:spacing w:after="0"/>
            </w:pPr>
            <w:r>
              <w:rPr>
                <w:b/>
                <w:sz w:val="19"/>
              </w:rPr>
              <w:t>Content</w:t>
            </w:r>
          </w:p>
        </w:tc>
      </w:tr>
      <w:tr>
        <w:trPr>
          <w:cantSplit w:val="true"/>
        </w:trPr>
        <w:tc>
          <w:tcPr>
            <w:tcW w:type="dxa" w:w="2701"/>
          </w:tcPr>
          <w:p>
            <w:pPr>
              <w:keepNext/>
              <w:spacing w:after="0"/>
            </w:pPr>
            <w:r>
              <w:rPr>
                <w:b w:val="0"/>
                <w:sz w:val="19"/>
              </w:rPr>
              <w:t>Core SOPs</w:t>
            </w:r>
          </w:p>
        </w:tc>
        <w:tc>
          <w:tcPr>
            <w:tcW w:type="dxa" w:w="6946"/>
          </w:tcPr>
          <w:p>
            <w:pPr>
              <w:keepNext/>
              <w:spacing w:after="0"/>
            </w:pPr>
            <w:r>
              <w:rPr>
                <w:b w:val="0"/>
                <w:sz w:val="19"/>
              </w:rPr>
              <w:t>SOP-01 to SOP-16. Every site adopts all 16.</w:t>
            </w:r>
          </w:p>
        </w:tc>
      </w:tr>
      <w:tr>
        <w:trPr>
          <w:cantSplit w:val="true"/>
        </w:trPr>
        <w:tc>
          <w:tcPr>
            <w:tcW w:type="dxa" w:w="2701"/>
          </w:tcPr>
          <w:p>
            <w:pPr>
              <w:keepNext/>
              <w:spacing w:after="0"/>
            </w:pPr>
            <w:r>
              <w:rPr>
                <w:b w:val="0"/>
                <w:sz w:val="19"/>
              </w:rPr>
              <w:t>Optional modules</w:t>
            </w:r>
          </w:p>
        </w:tc>
        <w:tc>
          <w:tcPr>
            <w:tcW w:type="dxa" w:w="6946"/>
          </w:tcPr>
          <w:p>
            <w:pPr>
              <w:keepNext/>
              <w:spacing w:after="0"/>
            </w:pPr>
            <w:r>
              <w:rPr>
                <w:b w:val="0"/>
                <w:sz w:val="19"/>
              </w:rPr>
              <w:t>SOP-M1 Service Providers and Vendors; SOP-M2 Feasibility, Contracts, Budgets and Research Billing; SOP-M3 Recruitment and Advertising; SOP-M4 Decentralized Trial Elements; SOP-M5 Research Integrity and Misconduct Reporting; SOP-M6 Sponsor-Investigator Studies (IND/IDE Holder). Adopt the ones whose activity the site performs (section 2). Most independent sites adopt SOP-M1 and SOP-M2, so a typical site adopts 18 to 19 SOPs.</w:t>
            </w:r>
          </w:p>
        </w:tc>
      </w:tr>
      <w:tr>
        <w:trPr>
          <w:cantSplit w:val="true"/>
        </w:trPr>
        <w:tc>
          <w:tcPr>
            <w:tcW w:type="dxa" w:w="2701"/>
          </w:tcPr>
          <w:p>
            <w:pPr>
              <w:keepNext/>
              <w:spacing w:after="0"/>
            </w:pPr>
            <w:r>
              <w:rPr>
                <w:b w:val="0"/>
                <w:sz w:val="19"/>
              </w:rPr>
              <w:t>Forms</w:t>
            </w:r>
          </w:p>
        </w:tc>
        <w:tc>
          <w:tcPr>
            <w:tcW w:type="dxa" w:w="6946"/>
          </w:tcPr>
          <w:p>
            <w:pPr>
              <w:keepNext/>
              <w:spacing w:after="0"/>
            </w:pPr>
            <w:r>
              <w:rPr>
                <w:b w:val="0"/>
                <w:sz w:val="19"/>
              </w:rPr>
              <w:t>The Lean forms set: 43 core forms (Reference Edition codes kept, plus F-304-04 Participant IP Dispensing and Return Log and F-703-02 CAPA Log) and 7 module forms.</w:t>
            </w:r>
          </w:p>
        </w:tc>
      </w:tr>
      <w:tr>
        <w:trPr>
          <w:cantSplit w:val="true"/>
        </w:trPr>
        <w:tc>
          <w:tcPr>
            <w:tcW w:type="dxa" w:w="2701"/>
          </w:tcPr>
          <w:p>
            <w:pPr>
              <w:keepNext/>
              <w:spacing w:after="0"/>
            </w:pPr>
            <w:r>
              <w:rPr>
                <w:b w:val="0"/>
                <w:sz w:val="19"/>
              </w:rPr>
              <w:t>Appendix A</w:t>
            </w:r>
          </w:p>
        </w:tc>
        <w:tc>
          <w:tcPr>
            <w:tcW w:type="dxa" w:w="6946"/>
          </w:tcPr>
          <w:p>
            <w:pPr>
              <w:keepNext/>
              <w:spacing w:after="0"/>
            </w:pPr>
            <w:r>
              <w:rPr>
                <w:b w:val="0"/>
                <w:sz w:val="19"/>
              </w:rPr>
              <w:t>State Law Worksheet: one copy per state where the site has a location or sees participants remotely.</w:t>
            </w:r>
          </w:p>
        </w:tc>
      </w:tr>
      <w:tr>
        <w:trPr>
          <w:cantSplit w:val="true"/>
        </w:trPr>
        <w:tc>
          <w:tcPr>
            <w:tcW w:type="dxa" w:w="2701"/>
          </w:tcPr>
          <w:p>
            <w:pPr>
              <w:keepNext/>
              <w:spacing w:after="0"/>
            </w:pPr>
            <w:r>
              <w:rPr>
                <w:b w:val="0"/>
                <w:sz w:val="19"/>
              </w:rPr>
              <w:t>Regulatory Currency Note</w:t>
            </w:r>
          </w:p>
        </w:tc>
        <w:tc>
          <w:tcPr>
            <w:tcW w:type="dxa" w:w="6946"/>
          </w:tcPr>
          <w:p>
            <w:pPr>
              <w:keepNext/>
              <w:spacing w:after="0"/>
            </w:pPr>
            <w:r>
              <w:rPr>
                <w:b w:val="0"/>
                <w:sz w:val="19"/>
              </w:rPr>
              <w:t>The regulatory baseline as of 23 October 2026 and the items whose status may change.</w:t>
            </w:r>
          </w:p>
        </w:tc>
      </w:tr>
      <w:tr>
        <w:trPr>
          <w:cantSplit w:val="true"/>
        </w:trPr>
        <w:tc>
          <w:tcPr>
            <w:tcW w:type="dxa" w:w="2701"/>
          </w:tcPr>
          <w:p>
            <w:pPr>
              <w:keepNext/>
              <w:spacing w:after="0"/>
            </w:pPr>
            <w:r>
              <w:rPr>
                <w:b w:val="0"/>
                <w:sz w:val="19"/>
              </w:rPr>
              <w:t>Start Here</w:t>
            </w:r>
          </w:p>
        </w:tc>
        <w:tc>
          <w:tcPr>
            <w:tcW w:type="dxa" w:w="6946"/>
          </w:tcPr>
          <w:p>
            <w:pPr>
              <w:keepNext/>
              <w:spacing w:after="0"/>
            </w:pPr>
            <w:r>
              <w:rPr>
                <w:b w:val="0"/>
                <w:sz w:val="19"/>
              </w:rPr>
              <w:t>A short front document (about 4 pages): status, how to start, the SOP and module lists, the role reading matrix and the forms list.</w:t>
            </w:r>
          </w:p>
        </w:tc>
      </w:tr>
      <w:tr>
        <w:trPr>
          <w:cantSplit w:val="true"/>
        </w:trPr>
        <w:tc>
          <w:tcPr>
            <w:tcW w:type="dxa" w:w="2701"/>
          </w:tcPr>
          <w:p>
            <w:pPr>
              <w:spacing w:after="0"/>
            </w:pPr>
            <w:r>
              <w:rPr>
                <w:b w:val="0"/>
                <w:sz w:val="19"/>
              </w:rPr>
              <w:t>This guide</w:t>
            </w:r>
          </w:p>
        </w:tc>
        <w:tc>
          <w:tcPr>
            <w:tcW w:type="dxa" w:w="6946"/>
          </w:tcPr>
          <w:p>
            <w:pPr>
              <w:spacing w:after="0"/>
            </w:pPr>
            <w:r>
              <w:rPr>
                <w:b w:val="0"/>
                <w:sz w:val="19"/>
              </w:rPr>
              <w:t>How to configure, approve, train and go live.</w:t>
            </w:r>
          </w:p>
        </w:tc>
      </w:tr>
    </w:tbl>
    <w:p>
      <w:pPr>
        <w:spacing w:after="40"/>
      </w:pPr>
    </w:p>
    <w:p>
      <w:pPr/>
      <w:r>
        <w:rPr>
          <w:b w:val="0"/>
        </w:rPr>
        <w:t xml:space="preserve">The Lean Edition holds steps only. The </w:t>
      </w:r>
      <w:r>
        <w:rPr>
          <w:b/>
        </w:rPr>
        <w:t>Reference Edition</w:t>
      </w:r>
      <w:r>
        <w:rPr>
          <w:b w:val="0"/>
        </w:rPr>
        <w:t xml:space="preserve"> (48 SOPs, release 1.3) holds the regulatory background, the longer explanations and the source wording; each Lean SOP names its Reference Edition source in section 7. A site that operates as a network adds the </w:t>
      </w:r>
      <w:r>
        <w:rPr>
          <w:b/>
        </w:rPr>
        <w:t>Network Edition</w:t>
      </w:r>
      <w:r>
        <w:rPr>
          <w:b w:val="0"/>
        </w:rPr>
        <w:t xml:space="preserve"> (SOP-N1 to SOP-N6, the Network Supplement and the exceptions table) on top of this core. Nothing in the Lean Edition depends on the Network Edition.</w:t>
      </w:r>
    </w:p>
    <w:p>
      <w:pPr>
        <w:pStyle w:val="Heading1"/>
      </w:pPr>
      <w:r>
        <w:t>2. Deciding which modules apply</w:t>
      </w:r>
    </w:p>
    <w:p>
      <w:pPr/>
      <w:r>
        <w:rPr>
          <w:b w:val="0"/>
        </w:rPr>
        <w:t xml:space="preserve">Decide this first, because it changes the decision register, the </w:t>
      </w:r>
      <w:r>
        <w:rPr>
          <w:b w:val="0"/>
          <w:highlight w:val="green"/>
        </w:rPr>
        <w:t>[DEFAULT]</w:t>
      </w:r>
      <w:r>
        <w:rPr>
          <w:b w:val="0"/>
        </w:rPr>
        <w:t xml:space="preserve"> values and the training plan. A module is adopted only when the site performs the activity. Record each module as adopted or not adopted on F-100-03 (SOP-01, 5.4.5 and 5.7.1). A module that is not adopted is not trained or audited; the right-hand column states what the site does instead. Most independent sites will adopt SOP-M1 (any site using an outside laboratory, courier or IT or eReg vendor) and SOP-M2 (any site negotiating its own contracts), so a typical site adopts 18 to 19 SOPs: the 16 core SOPs, SOP-M1, SOP-M2 and often SOP-M3. The trigger in the middle column is the module's own Scope sentence.</w:t>
      </w:r>
    </w:p>
    <w:tbl>
      <w:tblPr>
        <w:tblStyle w:val="TableGrid"/>
        <w:tblW w:type="auto" w:w="0"/>
        <w:jc w:val="left"/>
        <w:tblLayout w:type="fixed"/>
        <w:tblLook w:firstColumn="1" w:firstRow="1" w:lastColumn="0" w:lastRow="0" w:noHBand="0" w:noVBand="1" w:val="04A0"/>
      </w:tblPr>
      <w:tblGrid>
        <w:gridCol w:w="910"/>
        <w:gridCol w:w="4368"/>
        <w:gridCol w:w="4368"/>
      </w:tblGrid>
      <w:tr>
        <w:trPr>
          <w:tblHeader w:val="true"/>
        </w:trPr>
        <w:tc>
          <w:tcPr>
            <w:tcW w:type="dxa" w:w="910"/>
            <w:shd w:val="clear" w:color="auto" w:fill="D9E2F3"/>
          </w:tcPr>
          <w:p>
            <w:pPr>
              <w:keepNext/>
              <w:spacing w:after="0"/>
            </w:pPr>
            <w:r>
              <w:rPr>
                <w:b/>
                <w:sz w:val="19"/>
              </w:rPr>
              <w:t>Module</w:t>
            </w:r>
          </w:p>
        </w:tc>
        <w:tc>
          <w:tcPr>
            <w:tcW w:type="dxa" w:w="4368"/>
            <w:shd w:val="clear" w:color="auto" w:fill="D9E2F3"/>
          </w:tcPr>
          <w:p>
            <w:pPr>
              <w:keepNext/>
              <w:spacing w:after="0"/>
            </w:pPr>
            <w:r>
              <w:rPr>
                <w:b/>
                <w:sz w:val="19"/>
              </w:rPr>
              <w:t xml:space="preserve">Adopt only if </w:t>
            </w:r>
            <w:r>
              <w:rPr>
                <w:b/>
                <w:sz w:val="19"/>
                <w:highlight w:val="yellow"/>
              </w:rPr>
              <w:t>[SITE NAME]</w:t>
            </w:r>
            <w:r>
              <w:rPr>
                <w:b/>
                <w:sz w:val="19"/>
              </w:rPr>
              <w:t>... (the module's Scope sentence)</w:t>
            </w:r>
          </w:p>
        </w:tc>
        <w:tc>
          <w:tcPr>
            <w:tcW w:type="dxa" w:w="4368"/>
            <w:shd w:val="clear" w:color="auto" w:fill="D9E2F3"/>
          </w:tcPr>
          <w:p>
            <w:pPr>
              <w:keepNext/>
              <w:spacing w:after="0"/>
            </w:pPr>
            <w:r>
              <w:rPr>
                <w:b/>
                <w:sz w:val="19"/>
              </w:rPr>
              <w:t>If not adopted</w:t>
            </w:r>
          </w:p>
        </w:tc>
      </w:tr>
      <w:tr>
        <w:trPr>
          <w:cantSplit w:val="true"/>
        </w:trPr>
        <w:tc>
          <w:tcPr>
            <w:tcW w:type="dxa" w:w="910"/>
          </w:tcPr>
          <w:p>
            <w:pPr>
              <w:keepNext/>
              <w:spacing w:after="0"/>
            </w:pPr>
            <w:r>
              <w:rPr>
                <w:b w:val="0"/>
                <w:sz w:val="19"/>
              </w:rPr>
              <w:t>SOP-M1</w:t>
            </w:r>
          </w:p>
        </w:tc>
        <w:tc>
          <w:tcPr>
            <w:tcW w:type="dxa" w:w="4368"/>
          </w:tcPr>
          <w:p>
            <w:pPr>
              <w:keepNext/>
              <w:spacing w:after="0"/>
            </w:pPr>
            <w:r>
              <w:rPr>
                <w:b w:val="0"/>
                <w:sz w:val="19"/>
              </w:rPr>
              <w:t>uses outside persons or organizations to perform trial-related activities, for example local or hospital laboratories, imaging centers, couriers, home health or mobile phlebotomy, pharmacies, recruitment vendors, electronic system vendors (eISF, eSource, eConsent, CTMS), archive or shredding companies, staffing agencies, interpreters or calibration vendors</w:t>
            </w:r>
          </w:p>
        </w:tc>
        <w:tc>
          <w:tcPr>
            <w:tcW w:type="dxa" w:w="4368"/>
          </w:tcPr>
          <w:p>
            <w:pPr>
              <w:keepNext/>
              <w:spacing w:after="0"/>
            </w:pPr>
            <w:r>
              <w:rPr>
                <w:b w:val="0"/>
                <w:sz w:val="19"/>
              </w:rPr>
              <w:t>No outside person or organization performs trial-related activities for the site. The PI still approves any provider the sponsor arranges (SOP-02, 5.6.5).</w:t>
            </w:r>
          </w:p>
        </w:tc>
      </w:tr>
      <w:tr>
        <w:trPr>
          <w:cantSplit w:val="true"/>
        </w:trPr>
        <w:tc>
          <w:tcPr>
            <w:tcW w:type="dxa" w:w="910"/>
          </w:tcPr>
          <w:p>
            <w:pPr>
              <w:keepNext/>
              <w:spacing w:after="0"/>
            </w:pPr>
            <w:r>
              <w:rPr>
                <w:b w:val="0"/>
                <w:sz w:val="19"/>
              </w:rPr>
              <w:t>SOP-M2</w:t>
            </w:r>
          </w:p>
        </w:tc>
        <w:tc>
          <w:tcPr>
            <w:tcW w:type="dxa" w:w="4368"/>
          </w:tcPr>
          <w:p>
            <w:pPr>
              <w:keepNext/>
              <w:spacing w:after="0"/>
            </w:pPr>
            <w:r>
              <w:rPr>
                <w:b w:val="0"/>
                <w:sz w:val="19"/>
              </w:rPr>
              <w:t>answers feasibility requests, negotiates its own CDAs, CTAs or budgets, or bills any insurer or participant for items in a study</w:t>
            </w:r>
          </w:p>
        </w:tc>
        <w:tc>
          <w:tcPr>
            <w:tcW w:type="dxa" w:w="4368"/>
          </w:tcPr>
          <w:p>
            <w:pPr>
              <w:keepNext/>
              <w:spacing w:after="0"/>
            </w:pPr>
            <w:r>
              <w:rPr>
                <w:b w:val="0"/>
                <w:sz w:val="19"/>
              </w:rPr>
              <w:t>The site bills no insurer or participant for study items and records the no-billing attestation on F-205-01 before each activation (SOP-03, 5.10.5). Any contracts are handled outside the SOP system.</w:t>
            </w:r>
          </w:p>
        </w:tc>
      </w:tr>
      <w:tr>
        <w:trPr>
          <w:cantSplit w:val="true"/>
        </w:trPr>
        <w:tc>
          <w:tcPr>
            <w:tcW w:type="dxa" w:w="910"/>
          </w:tcPr>
          <w:p>
            <w:pPr>
              <w:keepNext/>
              <w:spacing w:after="0"/>
            </w:pPr>
            <w:r>
              <w:rPr>
                <w:b w:val="0"/>
                <w:sz w:val="19"/>
              </w:rPr>
              <w:t>SOP-M3</w:t>
            </w:r>
          </w:p>
        </w:tc>
        <w:tc>
          <w:tcPr>
            <w:tcW w:type="dxa" w:w="4368"/>
          </w:tcPr>
          <w:p>
            <w:pPr>
              <w:keepNext/>
              <w:spacing w:after="0"/>
            </w:pPr>
            <w:r>
              <w:rPr>
                <w:b w:val="0"/>
                <w:sz w:val="19"/>
              </w:rPr>
              <w:t>recruits beyond the investigators' own patients, for example by advertising, social media, a website, letters, emails or texts, a research volunteer database, referral outreach or a recruitment vendor</w:t>
            </w:r>
          </w:p>
        </w:tc>
        <w:tc>
          <w:tcPr>
            <w:tcW w:type="dxa" w:w="4368"/>
          </w:tcPr>
          <w:p>
            <w:pPr>
              <w:keepNext/>
              <w:spacing w:after="0"/>
            </w:pPr>
            <w:r>
              <w:rPr>
                <w:b w:val="0"/>
                <w:sz w:val="19"/>
              </w:rPr>
              <w:t>Pre-screening still follows SOP-05, 5.1, and every recruitment material still needs IRB approval (SOP-03).</w:t>
            </w:r>
          </w:p>
        </w:tc>
      </w:tr>
      <w:tr>
        <w:trPr>
          <w:cantSplit w:val="true"/>
        </w:trPr>
        <w:tc>
          <w:tcPr>
            <w:tcW w:type="dxa" w:w="910"/>
          </w:tcPr>
          <w:p>
            <w:pPr>
              <w:keepNext/>
              <w:spacing w:after="0"/>
            </w:pPr>
            <w:r>
              <w:rPr>
                <w:b w:val="0"/>
                <w:sz w:val="19"/>
              </w:rPr>
              <w:t>SOP-M4</w:t>
            </w:r>
          </w:p>
        </w:tc>
        <w:tc>
          <w:tcPr>
            <w:tcW w:type="dxa" w:w="4368"/>
          </w:tcPr>
          <w:p>
            <w:pPr>
              <w:keepNext/>
              <w:spacing w:after="0"/>
            </w:pPr>
            <w:r>
              <w:rPr>
                <w:b w:val="0"/>
                <w:sz w:val="19"/>
              </w:rPr>
              <w:t>runs any study in which the protocol permits or requires telehealth visits, home visits, local healthcare provider procedures or direct-to-participant IP shipment, whether the sponsor or the site arranges them</w:t>
            </w:r>
          </w:p>
        </w:tc>
        <w:tc>
          <w:tcPr>
            <w:tcW w:type="dxa" w:w="4368"/>
          </w:tcPr>
          <w:p>
            <w:pPr>
              <w:keepNext/>
              <w:spacing w:after="0"/>
            </w:pPr>
            <w:r>
              <w:rPr>
                <w:b w:val="0"/>
                <w:sz w:val="19"/>
              </w:rPr>
              <w:t>No remote, home, local provider or direct-to-participant elements are run. Remote consent still follows SOP-04, 5.10. ePRO devices and wearables do not trigger this module; they follow SOP-07, 5.4 and SOP-11, 5.8.3.</w:t>
            </w:r>
          </w:p>
        </w:tc>
      </w:tr>
      <w:tr>
        <w:trPr>
          <w:cantSplit w:val="true"/>
        </w:trPr>
        <w:tc>
          <w:tcPr>
            <w:tcW w:type="dxa" w:w="910"/>
          </w:tcPr>
          <w:p>
            <w:pPr>
              <w:keepNext/>
              <w:spacing w:after="0"/>
            </w:pPr>
            <w:r>
              <w:rPr>
                <w:b w:val="0"/>
                <w:sz w:val="19"/>
              </w:rPr>
              <w:t>SOP-M5</w:t>
            </w:r>
          </w:p>
        </w:tc>
        <w:tc>
          <w:tcPr>
            <w:tcW w:type="dxa" w:w="4368"/>
          </w:tcPr>
          <w:p>
            <w:pPr>
              <w:keepNext/>
              <w:spacing w:after="0"/>
            </w:pPr>
            <w:r>
              <w:rPr>
                <w:b w:val="0"/>
                <w:sz w:val="19"/>
              </w:rPr>
              <w:t>runs its own reporting route and investigation for suspected research misconduct or fraud</w:t>
            </w:r>
          </w:p>
        </w:tc>
        <w:tc>
          <w:tcPr>
            <w:tcW w:type="dxa" w:w="4368"/>
          </w:tcPr>
          <w:p>
            <w:pPr>
              <w:keepNext/>
              <w:spacing w:after="0"/>
            </w:pPr>
            <w:r>
              <w:rPr>
                <w:b w:val="0"/>
                <w:sz w:val="19"/>
              </w:rPr>
              <w:t>Integrity concerns use the minimum route in SOP-08, 5.6.5. Recommended for every site where the owner, PI or Site Director could be the subject of a concern.</w:t>
            </w:r>
          </w:p>
        </w:tc>
      </w:tr>
      <w:tr>
        <w:trPr>
          <w:cantSplit w:val="true"/>
        </w:trPr>
        <w:tc>
          <w:tcPr>
            <w:tcW w:type="dxa" w:w="910"/>
          </w:tcPr>
          <w:p>
            <w:pPr>
              <w:spacing w:after="0"/>
            </w:pPr>
            <w:r>
              <w:rPr>
                <w:b w:val="0"/>
                <w:sz w:val="19"/>
              </w:rPr>
              <w:t>SOP-M6</w:t>
            </w:r>
          </w:p>
        </w:tc>
        <w:tc>
          <w:tcPr>
            <w:tcW w:type="dxa" w:w="4368"/>
          </w:tcPr>
          <w:p>
            <w:pPr>
              <w:spacing w:after="0"/>
            </w:pPr>
            <w:r>
              <w:rPr>
                <w:b w:val="0"/>
                <w:sz w:val="19"/>
              </w:rPr>
              <w:t>conducts investigator-initiated trials of FDA-regulated drugs, biologics or devices in which a site investigator is the sponsor-investigator, whether or not an IND or IDE is needed and whether or not a company supplies product or funding</w:t>
            </w:r>
          </w:p>
        </w:tc>
        <w:tc>
          <w:tcPr>
            <w:tcW w:type="dxa" w:w="4368"/>
          </w:tcPr>
          <w:p>
            <w:pPr>
              <w:spacing w:after="0"/>
            </w:pPr>
            <w:r>
              <w:rPr>
                <w:b w:val="0"/>
                <w:sz w:val="19"/>
              </w:rPr>
              <w:t>The site does not act as sponsor.</w:t>
            </w:r>
          </w:p>
        </w:tc>
      </w:tr>
    </w:tbl>
    <w:p>
      <w:pPr>
        <w:spacing w:after="40"/>
      </w:pPr>
    </w:p>
    <w:p>
      <w:pPr/>
      <w:r>
        <w:rPr>
          <w:b/>
        </w:rPr>
        <w:t>Module dependencies.</w:t>
      </w:r>
      <w:r>
        <w:rPr>
          <w:b w:val="0"/>
        </w:rPr>
        <w:t xml:space="preserve"> SOP-M3 (recruitment vendors), SOP-M4 (site-engaged home health, courier or telehealth vendors), SOP-M6 (consultants, CROs and other providers for sponsor functions) and the SOP-M2 coverage analysis vendor all use SOP-M1 for any outside provider. Engaging such a provider meets the SOP-M1 trigger, so a site adopting one of these modules adopts SOP-M1 before it engages the provider. SOP-M6 records its resourcing decision on F-200-01; a site that adopts SOP-M6 without SOP-M2 adopts F-200-01 with SOP-M6 and uses it for that decision only.</w:t>
      </w:r>
    </w:p>
    <w:p>
      <w:pPr>
        <w:pStyle w:val="Heading1"/>
      </w:pPr>
      <w:r>
        <w:t>3. Effort estimate</w:t>
      </w:r>
    </w:p>
    <w:p>
      <w:pPr/>
      <w:r>
        <w:rPr>
          <w:b w:val="0"/>
        </w:rPr>
        <w:t>This is an estimate. No site has adopted the Lean Edition yet, so none of these figures has been measured. The reading figures come from the actual word counts of this release at 200 words per minute. The other figures are stated per item so a site can scale them to its own pace.</w:t>
      </w:r>
    </w:p>
    <w:tbl>
      <w:tblPr>
        <w:tblStyle w:val="TableGrid"/>
        <w:tblW w:type="auto" w:w="0"/>
        <w:jc w:val="left"/>
        <w:tblLayout w:type="fixed"/>
        <w:tblLook w:firstColumn="1" w:firstRow="1" w:lastColumn="0" w:lastRow="0" w:noHBand="0" w:noVBand="1" w:val="04A0"/>
      </w:tblPr>
      <w:tblGrid>
        <w:gridCol w:w="1532"/>
        <w:gridCol w:w="1626"/>
        <w:gridCol w:w="3663"/>
        <w:gridCol w:w="2826"/>
      </w:tblGrid>
      <w:tr>
        <w:trPr>
          <w:tblHeader w:val="true"/>
        </w:trPr>
        <w:tc>
          <w:tcPr>
            <w:tcW w:type="dxa" w:w="1532"/>
            <w:shd w:val="clear" w:color="auto" w:fill="D9E2F3"/>
          </w:tcPr>
          <w:p>
            <w:pPr>
              <w:spacing w:after="0"/>
            </w:pPr>
            <w:r>
              <w:rPr>
                <w:b/>
                <w:sz w:val="19"/>
              </w:rPr>
              <w:t>Task</w:t>
            </w:r>
          </w:p>
        </w:tc>
        <w:tc>
          <w:tcPr>
            <w:tcW w:type="dxa" w:w="1626"/>
            <w:shd w:val="clear" w:color="auto" w:fill="D9E2F3"/>
          </w:tcPr>
          <w:p>
            <w:pPr>
              <w:spacing w:after="0"/>
            </w:pPr>
            <w:r>
              <w:rPr>
                <w:b/>
                <w:sz w:val="19"/>
              </w:rPr>
              <w:t>Who</w:t>
            </w:r>
          </w:p>
        </w:tc>
        <w:tc>
          <w:tcPr>
            <w:tcW w:type="dxa" w:w="3663"/>
            <w:shd w:val="clear" w:color="auto" w:fill="D9E2F3"/>
          </w:tcPr>
          <w:p>
            <w:pPr>
              <w:spacing w:after="0"/>
            </w:pPr>
            <w:r>
              <w:rPr>
                <w:b/>
                <w:sz w:val="19"/>
              </w:rPr>
              <w:t>Basis</w:t>
            </w:r>
          </w:p>
        </w:tc>
        <w:tc>
          <w:tcPr>
            <w:tcW w:type="dxa" w:w="2826"/>
            <w:shd w:val="clear" w:color="auto" w:fill="D9E2F3"/>
          </w:tcPr>
          <w:p>
            <w:pPr>
              <w:spacing w:after="0"/>
            </w:pPr>
            <w:r>
              <w:rPr>
                <w:b/>
                <w:sz w:val="19"/>
              </w:rPr>
              <w:t>Estimated time</w:t>
            </w:r>
          </w:p>
        </w:tc>
      </w:tr>
      <w:tr>
        <w:trPr>
          <w:cantSplit w:val="true"/>
        </w:trPr>
        <w:tc>
          <w:tcPr>
            <w:tcW w:type="dxa" w:w="1532"/>
          </w:tcPr>
          <w:p>
            <w:pPr>
              <w:spacing w:after="0"/>
            </w:pPr>
            <w:r>
              <w:rPr>
                <w:b w:val="0"/>
                <w:sz w:val="19"/>
              </w:rPr>
              <w:t>Read the core SOPs</w:t>
            </w:r>
          </w:p>
        </w:tc>
        <w:tc>
          <w:tcPr>
            <w:tcW w:type="dxa" w:w="1626"/>
          </w:tcPr>
          <w:p>
            <w:pPr>
              <w:spacing w:after="0"/>
            </w:pPr>
            <w:r>
              <w:rPr>
                <w:b w:val="0"/>
                <w:sz w:val="19"/>
              </w:rPr>
              <w:t>Quality Lead</w:t>
            </w:r>
          </w:p>
        </w:tc>
        <w:tc>
          <w:tcPr>
            <w:tcW w:type="dxa" w:w="3663"/>
          </w:tcPr>
          <w:p>
            <w:pPr>
              <w:spacing w:after="0"/>
            </w:pPr>
            <w:r>
              <w:rPr>
                <w:b w:val="0"/>
                <w:sz w:val="19"/>
              </w:rPr>
              <w:t>52,509 words</w:t>
            </w:r>
          </w:p>
        </w:tc>
        <w:tc>
          <w:tcPr>
            <w:tcW w:type="dxa" w:w="2826"/>
          </w:tcPr>
          <w:p>
            <w:pPr>
              <w:spacing w:after="0"/>
            </w:pPr>
            <w:r>
              <w:rPr>
                <w:b w:val="0"/>
                <w:sz w:val="19"/>
              </w:rPr>
              <w:t>4.4 hours</w:t>
            </w:r>
          </w:p>
        </w:tc>
      </w:tr>
      <w:tr>
        <w:trPr>
          <w:cantSplit w:val="true"/>
        </w:trPr>
        <w:tc>
          <w:tcPr>
            <w:tcW w:type="dxa" w:w="1532"/>
          </w:tcPr>
          <w:p>
            <w:pPr>
              <w:spacing w:after="0"/>
            </w:pPr>
            <w:r>
              <w:rPr>
                <w:b w:val="0"/>
                <w:sz w:val="19"/>
              </w:rPr>
              <w:t>Read the adopted modules</w:t>
            </w:r>
          </w:p>
        </w:tc>
        <w:tc>
          <w:tcPr>
            <w:tcW w:type="dxa" w:w="1626"/>
          </w:tcPr>
          <w:p>
            <w:pPr>
              <w:spacing w:after="0"/>
            </w:pPr>
            <w:r>
              <w:rPr>
                <w:b w:val="0"/>
                <w:sz w:val="19"/>
              </w:rPr>
              <w:t>Quality Lead</w:t>
            </w:r>
          </w:p>
        </w:tc>
        <w:tc>
          <w:tcPr>
            <w:tcW w:type="dxa" w:w="3663"/>
          </w:tcPr>
          <w:p>
            <w:pPr>
              <w:spacing w:after="0"/>
            </w:pPr>
            <w:r>
              <w:rPr>
                <w:b w:val="0"/>
                <w:sz w:val="19"/>
              </w:rPr>
              <w:t>M1 2,832; M2 3,429; M3 1,989; M4 2,175; M5 1,901; M6 2,811 words (15,137 in all)</w:t>
            </w:r>
          </w:p>
        </w:tc>
        <w:tc>
          <w:tcPr>
            <w:tcW w:type="dxa" w:w="2826"/>
          </w:tcPr>
          <w:p>
            <w:pPr>
              <w:spacing w:after="0"/>
            </w:pPr>
            <w:r>
              <w:rPr>
                <w:b w:val="0"/>
                <w:sz w:val="19"/>
              </w:rPr>
              <w:t>10 to 17 minutes each; 1.3 hours for all six</w:t>
            </w:r>
          </w:p>
        </w:tc>
      </w:tr>
      <w:tr>
        <w:trPr>
          <w:cantSplit w:val="true"/>
        </w:trPr>
        <w:tc>
          <w:tcPr>
            <w:tcW w:type="dxa" w:w="1532"/>
          </w:tcPr>
          <w:p>
            <w:pPr>
              <w:spacing w:after="0"/>
            </w:pPr>
            <w:r>
              <w:rPr>
                <w:b w:val="0"/>
                <w:sz w:val="19"/>
              </w:rPr>
              <w:t>Read the guides</w:t>
            </w:r>
          </w:p>
        </w:tc>
        <w:tc>
          <w:tcPr>
            <w:tcW w:type="dxa" w:w="1626"/>
          </w:tcPr>
          <w:p>
            <w:pPr>
              <w:spacing w:after="0"/>
            </w:pPr>
            <w:r>
              <w:rPr>
                <w:b w:val="0"/>
                <w:sz w:val="19"/>
              </w:rPr>
              <w:t>Quality Lead</w:t>
            </w:r>
          </w:p>
        </w:tc>
        <w:tc>
          <w:tcPr>
            <w:tcW w:type="dxa" w:w="3663"/>
          </w:tcPr>
          <w:p>
            <w:pPr>
              <w:spacing w:after="0"/>
            </w:pPr>
            <w:r>
              <w:rPr>
                <w:b w:val="0"/>
                <w:sz w:val="19"/>
              </w:rPr>
              <w:t>Appendix A 4,244; Currency Note 1,938; this guide about 5,150 words</w:t>
            </w:r>
          </w:p>
        </w:tc>
        <w:tc>
          <w:tcPr>
            <w:tcW w:type="dxa" w:w="2826"/>
          </w:tcPr>
          <w:p>
            <w:pPr>
              <w:spacing w:after="0"/>
            </w:pPr>
            <w:r>
              <w:rPr>
                <w:b w:val="0"/>
                <w:sz w:val="19"/>
              </w:rPr>
              <w:t>0.9 hours</w:t>
            </w:r>
          </w:p>
        </w:tc>
      </w:tr>
      <w:tr>
        <w:trPr>
          <w:cantSplit w:val="true"/>
        </w:trPr>
        <w:tc>
          <w:tcPr>
            <w:tcW w:type="dxa" w:w="1532"/>
          </w:tcPr>
          <w:p>
            <w:pPr>
              <w:spacing w:after="0"/>
            </w:pPr>
            <w:r>
              <w:rPr>
                <w:b w:val="0"/>
                <w:sz w:val="19"/>
              </w:rPr>
              <w:t>Replace placeholders</w:t>
            </w:r>
          </w:p>
        </w:tc>
        <w:tc>
          <w:tcPr>
            <w:tcW w:type="dxa" w:w="1626"/>
          </w:tcPr>
          <w:p>
            <w:pPr>
              <w:spacing w:after="0"/>
            </w:pPr>
            <w:r>
              <w:rPr>
                <w:b w:val="0"/>
                <w:sz w:val="19"/>
              </w:rPr>
              <w:t>Quality Lead</w:t>
            </w:r>
          </w:p>
        </w:tc>
        <w:tc>
          <w:tcPr>
            <w:tcW w:type="dxa" w:w="3663"/>
          </w:tcPr>
          <w:p>
            <w:pPr>
              <w:spacing w:after="0"/>
            </w:pPr>
            <w:r>
              <w:rPr>
                <w:b w:val="0"/>
                <w:sz w:val="19"/>
              </w:rPr>
              <w:t>59 distinct bracketed placeholders, most used once</w:t>
            </w:r>
          </w:p>
        </w:tc>
        <w:tc>
          <w:tcPr>
            <w:tcW w:type="dxa" w:w="2826"/>
          </w:tcPr>
          <w:p>
            <w:pPr>
              <w:spacing w:after="0"/>
            </w:pPr>
            <w:r>
              <w:rPr>
                <w:b w:val="0"/>
                <w:sz w:val="19"/>
              </w:rPr>
              <w:t>2 hours</w:t>
            </w:r>
          </w:p>
        </w:tc>
      </w:tr>
      <w:tr>
        <w:trPr>
          <w:cantSplit w:val="true"/>
        </w:trPr>
        <w:tc>
          <w:tcPr>
            <w:tcW w:type="dxa" w:w="1532"/>
          </w:tcPr>
          <w:p>
            <w:pPr>
              <w:spacing w:after="0"/>
            </w:pPr>
            <w:r>
              <w:rPr>
                <w:b w:val="0"/>
                <w:sz w:val="19"/>
              </w:rPr>
              <w:t>Site decisions</w:t>
            </w:r>
          </w:p>
        </w:tc>
        <w:tc>
          <w:tcPr>
            <w:tcW w:type="dxa" w:w="1626"/>
          </w:tcPr>
          <w:p>
            <w:pPr>
              <w:spacing w:after="0"/>
            </w:pPr>
            <w:r>
              <w:rPr>
                <w:b w:val="0"/>
                <w:sz w:val="19"/>
              </w:rPr>
              <w:t>Quality Lead with the named decision owner</w:t>
            </w:r>
          </w:p>
        </w:tc>
        <w:tc>
          <w:tcPr>
            <w:tcW w:type="dxa" w:w="3663"/>
          </w:tcPr>
          <w:p>
            <w:pPr>
              <w:spacing w:after="0"/>
            </w:pPr>
            <w:r>
              <w:rPr>
                <w:b w:val="0"/>
                <w:sz w:val="19"/>
              </w:rPr>
              <w:t>15 core boxes, 5 module boxes; about 20 minutes each</w:t>
            </w:r>
          </w:p>
        </w:tc>
        <w:tc>
          <w:tcPr>
            <w:tcW w:type="dxa" w:w="2826"/>
          </w:tcPr>
          <w:p>
            <w:pPr>
              <w:spacing w:after="0"/>
            </w:pPr>
            <w:r>
              <w:rPr>
                <w:b w:val="0"/>
                <w:sz w:val="19"/>
              </w:rPr>
              <w:t>5.0 hours core; up to 1.7 hours more for modules</w:t>
            </w:r>
          </w:p>
        </w:tc>
      </w:tr>
      <w:tr>
        <w:trPr>
          <w:cantSplit w:val="true"/>
        </w:trPr>
        <w:tc>
          <w:tcPr>
            <w:tcW w:type="dxa" w:w="1532"/>
          </w:tcPr>
          <w:p>
            <w:pPr>
              <w:spacing w:after="0"/>
            </w:pPr>
            <w:r>
              <w:rPr>
                <w:b w:val="0"/>
                <w:sz w:val="19"/>
                <w:highlight w:val="green"/>
              </w:rPr>
              <w:t>[DEFAULT]</w:t>
            </w:r>
            <w:r>
              <w:rPr>
                <w:b w:val="0"/>
                <w:sz w:val="19"/>
              </w:rPr>
              <w:t xml:space="preserve"> values</w:t>
            </w:r>
          </w:p>
        </w:tc>
        <w:tc>
          <w:tcPr>
            <w:tcW w:type="dxa" w:w="1626"/>
          </w:tcPr>
          <w:p>
            <w:pPr>
              <w:spacing w:after="0"/>
            </w:pPr>
            <w:r>
              <w:rPr>
                <w:b w:val="0"/>
                <w:sz w:val="19"/>
              </w:rPr>
              <w:t>Quality Lead, with the PI for clinical values</w:t>
            </w:r>
          </w:p>
        </w:tc>
        <w:tc>
          <w:tcPr>
            <w:tcW w:type="dxa" w:w="3663"/>
          </w:tcPr>
          <w:p>
            <w:pPr>
              <w:spacing w:after="0"/>
            </w:pPr>
            <w:r>
              <w:rPr>
                <w:b w:val="0"/>
                <w:sz w:val="19"/>
              </w:rPr>
              <w:t>125 in the core SOPs, 25 in the modules; about 2 minutes each to confirm or change</w:t>
            </w:r>
          </w:p>
        </w:tc>
        <w:tc>
          <w:tcPr>
            <w:tcW w:type="dxa" w:w="2826"/>
          </w:tcPr>
          <w:p>
            <w:pPr>
              <w:spacing w:after="0"/>
            </w:pPr>
            <w:r>
              <w:rPr>
                <w:b w:val="0"/>
                <w:sz w:val="19"/>
              </w:rPr>
              <w:t>4.2 hours core; up to 0.8 hours more for modules</w:t>
            </w:r>
          </w:p>
        </w:tc>
      </w:tr>
      <w:tr>
        <w:trPr>
          <w:cantSplit w:val="true"/>
        </w:trPr>
        <w:tc>
          <w:tcPr>
            <w:tcW w:type="dxa" w:w="1532"/>
          </w:tcPr>
          <w:p>
            <w:pPr>
              <w:spacing w:after="0"/>
            </w:pPr>
            <w:r>
              <w:rPr>
                <w:b w:val="0"/>
                <w:sz w:val="19"/>
              </w:rPr>
              <w:t>Align forms</w:t>
            </w:r>
          </w:p>
        </w:tc>
        <w:tc>
          <w:tcPr>
            <w:tcW w:type="dxa" w:w="1626"/>
          </w:tcPr>
          <w:p>
            <w:pPr>
              <w:spacing w:after="0"/>
            </w:pPr>
            <w:r>
              <w:rPr>
                <w:b w:val="0"/>
                <w:sz w:val="19"/>
              </w:rPr>
              <w:t>Quality Lead</w:t>
            </w:r>
          </w:p>
        </w:tc>
        <w:tc>
          <w:tcPr>
            <w:tcW w:type="dxa" w:w="3663"/>
          </w:tcPr>
          <w:p>
            <w:pPr>
              <w:spacing w:after="0"/>
            </w:pPr>
            <w:r>
              <w:rPr>
                <w:b w:val="0"/>
                <w:sz w:val="19"/>
              </w:rPr>
              <w:t xml:space="preserve">43 core and 7 module forms; about 5 minutes each to match placeholders and </w:t>
            </w:r>
            <w:r>
              <w:rPr>
                <w:b w:val="0"/>
                <w:sz w:val="19"/>
                <w:highlight w:val="green"/>
              </w:rPr>
              <w:t>[DEFAULT]</w:t>
            </w:r>
            <w:r>
              <w:rPr>
                <w:b w:val="0"/>
                <w:sz w:val="19"/>
              </w:rPr>
              <w:t xml:space="preserve"> values</w:t>
            </w:r>
          </w:p>
        </w:tc>
        <w:tc>
          <w:tcPr>
            <w:tcW w:type="dxa" w:w="2826"/>
          </w:tcPr>
          <w:p>
            <w:pPr>
              <w:spacing w:after="0"/>
            </w:pPr>
            <w:r>
              <w:rPr>
                <w:b w:val="0"/>
                <w:sz w:val="19"/>
              </w:rPr>
              <w:t>3.6 hours core; 0.6 hours more for modules</w:t>
            </w:r>
          </w:p>
        </w:tc>
      </w:tr>
      <w:tr>
        <w:trPr>
          <w:cantSplit w:val="true"/>
        </w:trPr>
        <w:tc>
          <w:tcPr>
            <w:tcW w:type="dxa" w:w="1532"/>
          </w:tcPr>
          <w:p>
            <w:pPr>
              <w:spacing w:after="0"/>
            </w:pPr>
            <w:r>
              <w:rPr>
                <w:b w:val="0"/>
                <w:sz w:val="19"/>
              </w:rPr>
              <w:t>Appendix A</w:t>
            </w:r>
          </w:p>
        </w:tc>
        <w:tc>
          <w:tcPr>
            <w:tcW w:type="dxa" w:w="1626"/>
          </w:tcPr>
          <w:p>
            <w:pPr>
              <w:spacing w:after="0"/>
            </w:pPr>
            <w:r>
              <w:rPr>
                <w:b w:val="0"/>
                <w:sz w:val="19"/>
              </w:rPr>
              <w:t>Quality Lead with counsel</w:t>
            </w:r>
          </w:p>
        </w:tc>
        <w:tc>
          <w:tcPr>
            <w:tcW w:type="dxa" w:w="3663"/>
          </w:tcPr>
          <w:p>
            <w:pPr>
              <w:spacing w:after="0"/>
            </w:pPr>
            <w:r>
              <w:rPr>
                <w:b w:val="0"/>
                <w:sz w:val="19"/>
              </w:rPr>
              <w:t>86 rows per state; 2 to 3 minutes each</w:t>
            </w:r>
          </w:p>
        </w:tc>
        <w:tc>
          <w:tcPr>
            <w:tcW w:type="dxa" w:w="2826"/>
          </w:tcPr>
          <w:p>
            <w:pPr>
              <w:spacing w:after="0"/>
            </w:pPr>
            <w:r>
              <w:rPr>
                <w:b w:val="0"/>
                <w:sz w:val="19"/>
              </w:rPr>
              <w:t>2.9 to 4.3 hours per state</w:t>
            </w:r>
          </w:p>
        </w:tc>
      </w:tr>
      <w:tr>
        <w:trPr>
          <w:cantSplit w:val="true"/>
        </w:trPr>
        <w:tc>
          <w:tcPr>
            <w:tcW w:type="dxa" w:w="1532"/>
          </w:tcPr>
          <w:p>
            <w:pPr>
              <w:spacing w:after="0"/>
            </w:pPr>
            <w:r>
              <w:rPr>
                <w:b w:val="0"/>
                <w:sz w:val="19"/>
              </w:rPr>
              <w:t>IRB and sponsor alignment</w:t>
            </w:r>
          </w:p>
        </w:tc>
        <w:tc>
          <w:tcPr>
            <w:tcW w:type="dxa" w:w="1626"/>
          </w:tcPr>
          <w:p>
            <w:pPr>
              <w:spacing w:after="0"/>
            </w:pPr>
            <w:r>
              <w:rPr>
                <w:b w:val="0"/>
                <w:sz w:val="19"/>
              </w:rPr>
              <w:t>Regulatory Coordinator, Quality Lead</w:t>
            </w:r>
          </w:p>
        </w:tc>
        <w:tc>
          <w:tcPr>
            <w:tcW w:type="dxa" w:w="3663"/>
          </w:tcPr>
          <w:p>
            <w:pPr>
              <w:spacing w:after="0"/>
            </w:pPr>
            <w:r>
              <w:rPr>
                <w:b w:val="0"/>
                <w:sz w:val="19"/>
              </w:rPr>
              <w:t>IRB requirements profile and two or three key sponsors</w:t>
            </w:r>
          </w:p>
        </w:tc>
        <w:tc>
          <w:tcPr>
            <w:tcW w:type="dxa" w:w="2826"/>
          </w:tcPr>
          <w:p>
            <w:pPr>
              <w:spacing w:after="0"/>
            </w:pPr>
            <w:r>
              <w:rPr>
                <w:b w:val="0"/>
                <w:sz w:val="19"/>
              </w:rPr>
              <w:t>2 to 3 hours</w:t>
            </w:r>
          </w:p>
        </w:tc>
      </w:tr>
      <w:tr>
        <w:trPr>
          <w:cantSplit w:val="true"/>
        </w:trPr>
        <w:tc>
          <w:tcPr>
            <w:tcW w:type="dxa" w:w="1532"/>
          </w:tcPr>
          <w:p>
            <w:pPr>
              <w:spacing w:after="0"/>
            </w:pPr>
            <w:r>
              <w:rPr>
                <w:b w:val="0"/>
                <w:sz w:val="19"/>
              </w:rPr>
              <w:t>Approval</w:t>
            </w:r>
          </w:p>
        </w:tc>
        <w:tc>
          <w:tcPr>
            <w:tcW w:type="dxa" w:w="1626"/>
          </w:tcPr>
          <w:p>
            <w:pPr>
              <w:spacing w:after="0"/>
            </w:pPr>
            <w:r>
              <w:rPr>
                <w:b w:val="0"/>
                <w:sz w:val="19"/>
              </w:rPr>
              <w:t>Site Director, lead PI (and the independent reviewer where step 7 needs one)</w:t>
            </w:r>
          </w:p>
        </w:tc>
        <w:tc>
          <w:tcPr>
            <w:tcW w:type="dxa" w:w="3663"/>
          </w:tcPr>
          <w:p>
            <w:pPr>
              <w:spacing w:after="0"/>
            </w:pPr>
            <w:r>
              <w:rPr>
                <w:b w:val="0"/>
                <w:sz w:val="19"/>
              </w:rPr>
              <w:t>Read the core SOPs (4.4 hours; counts toward their own training reading) and sign one F-100-01 record per adopted SOP (16 core, up to 22 with modules) at about 5 minutes each</w:t>
            </w:r>
          </w:p>
        </w:tc>
        <w:tc>
          <w:tcPr>
            <w:tcW w:type="dxa" w:w="2826"/>
          </w:tcPr>
          <w:p>
            <w:pPr>
              <w:spacing w:after="0"/>
            </w:pPr>
            <w:r>
              <w:rPr>
                <w:b w:val="0"/>
                <w:sz w:val="19"/>
              </w:rPr>
              <w:t>5.7 hours per approver for the core; up to 0.5 hours more for modules</w:t>
            </w:r>
          </w:p>
        </w:tc>
      </w:tr>
      <w:tr>
        <w:trPr>
          <w:cantSplit w:val="true"/>
        </w:trPr>
        <w:tc>
          <w:tcPr>
            <w:tcW w:type="dxa" w:w="1532"/>
          </w:tcPr>
          <w:p>
            <w:pPr>
              <w:spacing w:after="0"/>
            </w:pPr>
            <w:r>
              <w:rPr>
                <w:b w:val="0"/>
                <w:sz w:val="19"/>
              </w:rPr>
              <w:t>Training</w:t>
            </w:r>
          </w:p>
        </w:tc>
        <w:tc>
          <w:tcPr>
            <w:tcW w:type="dxa" w:w="1626"/>
          </w:tcPr>
          <w:p>
            <w:pPr>
              <w:spacing w:after="0"/>
            </w:pPr>
            <w:r>
              <w:rPr>
                <w:b w:val="0"/>
                <w:sz w:val="19"/>
              </w:rPr>
              <w:t>Each role</w:t>
            </w:r>
          </w:p>
        </w:tc>
        <w:tc>
          <w:tcPr>
            <w:tcW w:type="dxa" w:w="3663"/>
          </w:tcPr>
          <w:p>
            <w:pPr>
              <w:spacing w:after="0"/>
            </w:pPr>
            <w:r>
              <w:rPr>
                <w:b w:val="0"/>
                <w:sz w:val="19"/>
              </w:rPr>
              <w:t>Role matrix, below</w:t>
            </w:r>
          </w:p>
        </w:tc>
        <w:tc>
          <w:tcPr>
            <w:tcW w:type="dxa" w:w="2826"/>
          </w:tcPr>
          <w:p>
            <w:pPr>
              <w:spacing w:after="0"/>
            </w:pPr>
            <w:r>
              <w:rPr>
                <w:b w:val="0"/>
                <w:sz w:val="19"/>
              </w:rPr>
              <w:t>2.1 to 10.4 hours per role</w:t>
            </w:r>
          </w:p>
        </w:tc>
      </w:tr>
      <w:tr>
        <w:trPr>
          <w:cantSplit w:val="true"/>
        </w:trPr>
        <w:tc>
          <w:tcPr>
            <w:tcW w:type="dxa" w:w="1532"/>
          </w:tcPr>
          <w:p>
            <w:pPr>
              <w:spacing w:after="0"/>
            </w:pPr>
            <w:r>
              <w:rPr>
                <w:b w:val="0"/>
                <w:sz w:val="19"/>
              </w:rPr>
              <w:t>Effective date</w:t>
            </w:r>
          </w:p>
        </w:tc>
        <w:tc>
          <w:tcPr>
            <w:tcW w:type="dxa" w:w="1626"/>
          </w:tcPr>
          <w:p>
            <w:pPr>
              <w:spacing w:after="0"/>
            </w:pPr>
            <w:r>
              <w:rPr>
                <w:b w:val="0"/>
                <w:sz w:val="19"/>
              </w:rPr>
              <w:t>Everyone</w:t>
            </w:r>
          </w:p>
        </w:tc>
        <w:tc>
          <w:tcPr>
            <w:tcW w:type="dxa" w:w="3663"/>
          </w:tcPr>
          <w:p>
            <w:pPr>
              <w:spacing w:after="0"/>
            </w:pPr>
            <w:r>
              <w:rPr>
                <w:b w:val="0"/>
                <w:sz w:val="19"/>
              </w:rPr>
              <w:t>SOP-01, 5.4.1: at least 30 calendar days (library default) after approval for adoption</w:t>
            </w:r>
          </w:p>
        </w:tc>
        <w:tc>
          <w:tcPr>
            <w:tcW w:type="dxa" w:w="2826"/>
          </w:tcPr>
          <w:p>
            <w:pPr>
              <w:spacing w:after="0"/>
            </w:pPr>
            <w:r>
              <w:rPr>
                <w:b w:val="0"/>
                <w:sz w:val="19"/>
              </w:rPr>
              <w:t>Calendar time, not work time</w:t>
            </w:r>
          </w:p>
        </w:tc>
      </w:tr>
      <w:tr>
        <w:trPr>
          <w:cantSplit w:val="true"/>
        </w:trPr>
        <w:tc>
          <w:tcPr>
            <w:tcW w:type="dxa" w:w="1532"/>
          </w:tcPr>
          <w:p>
            <w:pPr>
              <w:spacing w:after="0"/>
            </w:pPr>
            <w:r>
              <w:rPr>
                <w:b w:val="0"/>
                <w:sz w:val="19"/>
              </w:rPr>
              <w:t>Engage the independent reviewer</w:t>
            </w:r>
          </w:p>
        </w:tc>
        <w:tc>
          <w:tcPr>
            <w:tcW w:type="dxa" w:w="1626"/>
          </w:tcPr>
          <w:p>
            <w:pPr>
              <w:spacing w:after="0"/>
            </w:pPr>
            <w:r>
              <w:rPr>
                <w:b w:val="0"/>
                <w:sz w:val="19"/>
              </w:rPr>
              <w:t>Site Director, Quality Lead</w:t>
            </w:r>
          </w:p>
        </w:tc>
        <w:tc>
          <w:tcPr>
            <w:tcW w:type="dxa" w:w="3663"/>
          </w:tcPr>
          <w:p>
            <w:pPr>
              <w:spacing w:after="0"/>
            </w:pPr>
            <w:r>
              <w:rPr>
                <w:b w:val="0"/>
                <w:sz w:val="19"/>
              </w:rPr>
              <w:t>Find a candidate, check independence and qualifications, sign the engagement record (Step 1)</w:t>
            </w:r>
          </w:p>
        </w:tc>
        <w:tc>
          <w:tcPr>
            <w:tcW w:type="dxa" w:w="2826"/>
          </w:tcPr>
          <w:p>
            <w:pPr>
              <w:spacing w:after="0"/>
            </w:pPr>
            <w:r>
              <w:rPr>
                <w:b w:val="0"/>
                <w:sz w:val="19"/>
              </w:rPr>
              <w:t>2 to 6 hours of site time; often 2 to 6 weeks of calendar time</w:t>
            </w:r>
          </w:p>
        </w:tc>
      </w:tr>
      <w:tr>
        <w:trPr>
          <w:cantSplit w:val="true"/>
        </w:trPr>
        <w:tc>
          <w:tcPr>
            <w:tcW w:type="dxa" w:w="1532"/>
          </w:tcPr>
          <w:p>
            <w:pPr>
              <w:spacing w:after="0"/>
            </w:pPr>
            <w:r>
              <w:rPr>
                <w:b w:val="0"/>
                <w:sz w:val="19"/>
              </w:rPr>
              <w:t>Independent reviewer's own work</w:t>
            </w:r>
          </w:p>
        </w:tc>
        <w:tc>
          <w:tcPr>
            <w:tcW w:type="dxa" w:w="1626"/>
          </w:tcPr>
          <w:p>
            <w:pPr>
              <w:spacing w:after="0"/>
            </w:pPr>
            <w:r>
              <w:rPr>
                <w:b w:val="0"/>
                <w:sz w:val="19"/>
              </w:rPr>
              <w:t>Independent reviewer</w:t>
            </w:r>
          </w:p>
        </w:tc>
        <w:tc>
          <w:tcPr>
            <w:tcW w:type="dxa" w:w="3663"/>
          </w:tcPr>
          <w:p>
            <w:pPr>
              <w:spacing w:after="0"/>
            </w:pPr>
            <w:r>
              <w:rPr>
                <w:b w:val="0"/>
                <w:sz w:val="19"/>
              </w:rPr>
              <w:t>At adoption: SOP approvals where Step 7 needs them. Each year: the internal audit (16 to 24 hours), fallback consent QC (about 15 minutes per consent), management review sign-off where the Site Director is the Quality Lead (1 to 2 hours), integrity reports as they arise</w:t>
            </w:r>
          </w:p>
        </w:tc>
        <w:tc>
          <w:tcPr>
            <w:tcW w:type="dxa" w:w="2826"/>
          </w:tcPr>
          <w:p>
            <w:pPr>
              <w:spacing w:after="0"/>
            </w:pPr>
            <w:r>
              <w:rPr>
                <w:b w:val="0"/>
                <w:sz w:val="19"/>
              </w:rPr>
              <w:t>5 to 6 hours at adoption; about 20 to 40 hours a year, at the reviewer's agreed rate</w:t>
            </w:r>
          </w:p>
        </w:tc>
      </w:tr>
      <w:tr>
        <w:trPr>
          <w:cantSplit w:val="true"/>
        </w:trPr>
        <w:tc>
          <w:tcPr>
            <w:tcW w:type="dxa" w:w="1532"/>
          </w:tcPr>
          <w:p>
            <w:pPr>
              <w:spacing w:after="0"/>
            </w:pPr>
            <w:r>
              <w:rPr>
                <w:b w:val="0"/>
                <w:sz w:val="19"/>
              </w:rPr>
              <w:t>Counsel</w:t>
            </w:r>
          </w:p>
        </w:tc>
        <w:tc>
          <w:tcPr>
            <w:tcW w:type="dxa" w:w="1626"/>
          </w:tcPr>
          <w:p>
            <w:pPr>
              <w:spacing w:after="0"/>
            </w:pPr>
            <w:r>
              <w:rPr>
                <w:b w:val="0"/>
                <w:sz w:val="19"/>
                <w:highlight w:val="yellow"/>
              </w:rPr>
              <w:t>[LEGAL COUNSEL]</w:t>
            </w:r>
            <w:r>
              <w:rPr>
                <w:b w:val="0"/>
                <w:sz w:val="19"/>
              </w:rPr>
              <w:t xml:space="preserve"> with the Quality Lead</w:t>
            </w:r>
          </w:p>
        </w:tc>
        <w:tc>
          <w:tcPr>
            <w:tcW w:type="dxa" w:w="3663"/>
          </w:tcPr>
          <w:p>
            <w:pPr>
              <w:spacing w:after="0"/>
            </w:pPr>
            <w:r>
              <w:rPr>
                <w:b w:val="0"/>
                <w:sz w:val="19"/>
              </w:rPr>
              <w:t>Appendix A review per state; HIPAA status (L-12); licensure rule if SOP-M4 is adopted (L-19); contract playbook limits if SOP-M2 is adopted (L-16)</w:t>
            </w:r>
          </w:p>
        </w:tc>
        <w:tc>
          <w:tcPr>
            <w:tcW w:type="dxa" w:w="2826"/>
          </w:tcPr>
          <w:p>
            <w:pPr>
              <w:spacing w:after="0"/>
            </w:pPr>
            <w:r>
              <w:rPr>
                <w:b w:val="0"/>
                <w:sz w:val="19"/>
              </w:rPr>
              <w:t>2 to 4 hours per state, 1 to 2 hours each for L-12 and L-19, 2 to 4 hours for L-16</w:t>
            </w:r>
          </w:p>
        </w:tc>
      </w:tr>
      <w:tr>
        <w:trPr>
          <w:cantSplit w:val="true"/>
        </w:trPr>
        <w:tc>
          <w:tcPr>
            <w:tcW w:type="dxa" w:w="1532"/>
          </w:tcPr>
          <w:p>
            <w:pPr>
              <w:spacing w:after="0"/>
            </w:pPr>
            <w:r>
              <w:rPr>
                <w:b w:val="0"/>
                <w:sz w:val="19"/>
              </w:rPr>
              <w:t>PI and Site Director decisions</w:t>
            </w:r>
          </w:p>
        </w:tc>
        <w:tc>
          <w:tcPr>
            <w:tcW w:type="dxa" w:w="1626"/>
          </w:tcPr>
          <w:p>
            <w:pPr>
              <w:spacing w:after="0"/>
            </w:pPr>
            <w:r>
              <w:rPr>
                <w:b w:val="0"/>
                <w:sz w:val="19"/>
              </w:rPr>
              <w:t>PI, Site Director</w:t>
            </w:r>
          </w:p>
        </w:tc>
        <w:tc>
          <w:tcPr>
            <w:tcW w:type="dxa" w:w="3663"/>
          </w:tcPr>
          <w:p>
            <w:pPr>
              <w:spacing w:after="0"/>
            </w:pPr>
            <w:r>
              <w:rPr>
                <w:b w:val="0"/>
                <w:sz w:val="19"/>
              </w:rPr>
              <w:t xml:space="preserve">Their share of the Site decisions and the clinical </w:t>
            </w:r>
            <w:r>
              <w:rPr>
                <w:b w:val="0"/>
                <w:sz w:val="19"/>
                <w:highlight w:val="green"/>
              </w:rPr>
              <w:t>[DEFAULT]</w:t>
            </w:r>
            <w:r>
              <w:rPr>
                <w:b w:val="0"/>
                <w:sz w:val="19"/>
              </w:rPr>
              <w:t xml:space="preserve"> values (consent QC, AE assessment, IP and safety windows)</w:t>
            </w:r>
          </w:p>
        </w:tc>
        <w:tc>
          <w:tcPr>
            <w:tcW w:type="dxa" w:w="2826"/>
          </w:tcPr>
          <w:p>
            <w:pPr>
              <w:spacing w:after="0"/>
            </w:pPr>
            <w:r>
              <w:rPr>
                <w:b w:val="0"/>
                <w:sz w:val="19"/>
              </w:rPr>
              <w:t>3 to 6 hours each</w:t>
            </w:r>
          </w:p>
        </w:tc>
      </w:tr>
      <w:tr>
        <w:trPr>
          <w:cantSplit w:val="true"/>
        </w:trPr>
        <w:tc>
          <w:tcPr>
            <w:tcW w:type="dxa" w:w="1532"/>
          </w:tcPr>
          <w:p>
            <w:pPr>
              <w:spacing w:after="0"/>
            </w:pPr>
            <w:r>
              <w:rPr>
                <w:b w:val="0"/>
                <w:sz w:val="19"/>
              </w:rPr>
              <w:t>Temperature monitoring equipment</w:t>
            </w:r>
          </w:p>
        </w:tc>
        <w:tc>
          <w:tcPr>
            <w:tcW w:type="dxa" w:w="1626"/>
          </w:tcPr>
          <w:p>
            <w:pPr>
              <w:spacing w:after="0"/>
            </w:pPr>
            <w:r>
              <w:rPr>
                <w:b w:val="0"/>
                <w:sz w:val="19"/>
              </w:rPr>
              <w:t>Site Director, IP Manager</w:t>
            </w:r>
          </w:p>
        </w:tc>
        <w:tc>
          <w:tcPr>
            <w:tcW w:type="dxa" w:w="3663"/>
          </w:tcPr>
          <w:p>
            <w:pPr>
              <w:spacing w:after="0"/>
            </w:pPr>
            <w:r>
              <w:rPr>
                <w:b w:val="0"/>
                <w:sz w:val="19"/>
              </w:rPr>
              <w:t>Only where a storage location has no continuous monitoring system with alarm and the site keeps that default (L-08): quotes, purchase, installation, alarm set-up</w:t>
            </w:r>
          </w:p>
        </w:tc>
        <w:tc>
          <w:tcPr>
            <w:tcW w:type="dxa" w:w="2826"/>
          </w:tcPr>
          <w:p>
            <w:pPr>
              <w:spacing w:after="0"/>
            </w:pPr>
            <w:r>
              <w:rPr>
                <w:b w:val="0"/>
                <w:sz w:val="19"/>
              </w:rPr>
              <w:t>4 to 8 hours of site time; 2 to 6 weeks of calendar time; equipment and subscription cost by vendor quote</w:t>
            </w:r>
          </w:p>
        </w:tc>
      </w:tr>
      <w:tr>
        <w:trPr>
          <w:cantSplit w:val="true"/>
        </w:trPr>
        <w:tc>
          <w:tcPr>
            <w:tcW w:type="dxa" w:w="1532"/>
          </w:tcPr>
          <w:p>
            <w:pPr>
              <w:spacing w:after="0"/>
            </w:pPr>
            <w:r>
              <w:rPr>
                <w:b w:val="0"/>
                <w:sz w:val="19"/>
              </w:rPr>
              <w:t>Covering investigator</w:t>
            </w:r>
          </w:p>
        </w:tc>
        <w:tc>
          <w:tcPr>
            <w:tcW w:type="dxa" w:w="1626"/>
          </w:tcPr>
          <w:p>
            <w:pPr>
              <w:spacing w:after="0"/>
            </w:pPr>
            <w:r>
              <w:rPr>
                <w:b w:val="0"/>
                <w:sz w:val="19"/>
              </w:rPr>
              <w:t>PI, Site Director</w:t>
            </w:r>
          </w:p>
        </w:tc>
        <w:tc>
          <w:tcPr>
            <w:tcW w:type="dxa" w:w="3663"/>
          </w:tcPr>
          <w:p>
            <w:pPr>
              <w:spacing w:after="0"/>
            </w:pPr>
            <w:r>
              <w:rPr>
                <w:b w:val="0"/>
                <w:sz w:val="19"/>
              </w:rPr>
              <w:t>Only where a study has no Sub-I: arrange a covering investigator listed for the study before enrollment (SOP-16, 5.6.2). A solo-PI site needs a contracted covering investigator for each study, so budget the fee at feasibility</w:t>
            </w:r>
          </w:p>
        </w:tc>
        <w:tc>
          <w:tcPr>
            <w:tcW w:type="dxa" w:w="2826"/>
          </w:tcPr>
          <w:p>
            <w:pPr>
              <w:spacing w:after="0"/>
            </w:pPr>
            <w:r>
              <w:rPr>
                <w:b w:val="0"/>
                <w:sz w:val="19"/>
              </w:rPr>
              <w:t>2 to 6 hours to arrange; 1 to 3 hours of protocol training per study; contracted fee per study</w:t>
            </w:r>
          </w:p>
        </w:tc>
      </w:tr>
      <w:tr>
        <w:trPr>
          <w:cantSplit w:val="true"/>
        </w:trPr>
        <w:tc>
          <w:tcPr>
            <w:tcW w:type="dxa" w:w="1532"/>
          </w:tcPr>
          <w:p>
            <w:pPr>
              <w:spacing w:after="0"/>
            </w:pPr>
            <w:r>
              <w:rPr>
                <w:b w:val="0"/>
                <w:sz w:val="19"/>
              </w:rPr>
              <w:t>Trainer preparation</w:t>
            </w:r>
          </w:p>
        </w:tc>
        <w:tc>
          <w:tcPr>
            <w:tcW w:type="dxa" w:w="1626"/>
          </w:tcPr>
          <w:p>
            <w:pPr>
              <w:spacing w:after="0"/>
            </w:pPr>
            <w:r>
              <w:rPr>
                <w:b w:val="0"/>
                <w:sz w:val="19"/>
              </w:rPr>
              <w:t>Quality Lead or trainer</w:t>
            </w:r>
          </w:p>
        </w:tc>
        <w:tc>
          <w:tcPr>
            <w:tcW w:type="dxa" w:w="3663"/>
          </w:tcPr>
          <w:p>
            <w:pPr>
              <w:spacing w:after="0"/>
            </w:pPr>
            <w:r>
              <w:rPr>
                <w:b w:val="0"/>
                <w:sz w:val="19"/>
              </w:rPr>
              <w:t>Trainer-led sessions or knowledge checks for SOP-04, SOP-06, SOP-08 and SOP-09</w:t>
            </w:r>
          </w:p>
        </w:tc>
        <w:tc>
          <w:tcPr>
            <w:tcW w:type="dxa" w:w="2826"/>
          </w:tcPr>
          <w:p>
            <w:pPr>
              <w:spacing w:after="0"/>
            </w:pPr>
            <w:r>
              <w:rPr>
                <w:b w:val="0"/>
                <w:sz w:val="19"/>
              </w:rPr>
              <w:t>1 to 2 hours per SOP</w:t>
            </w:r>
          </w:p>
        </w:tc>
      </w:tr>
    </w:tbl>
    <w:p>
      <w:pPr>
        <w:spacing w:after="40"/>
      </w:pPr>
    </w:p>
    <w:p>
      <w:pPr/>
      <w:r>
        <w:rPr>
          <w:b w:val="0"/>
        </w:rPr>
        <w:t>For the core alone, the Quality Lead's configuration work (reading, placeholders, decisions, defaults, forms, one state in Appendix A, alignment and routing) comes to roughly 25 to 30 hours. All six modules add about 4.4 hours. The rows for the independent reviewer, counsel, the PI and Site Director, equipment, covering investigators and trainers are other people's time and are not in that figure; they are estimates with ranges, not measurements. The effective date usually waits on counsel, the independent reviewer and, where needed, temperature monitoring equipment, not on Quality Lead hours, so start those in the first week. With the 30-day wait before the effective date, a site working on this part time should plan on two to three months from start to effective date.</w:t>
      </w:r>
    </w:p>
    <w:p>
      <w:pPr/>
      <w:r>
        <w:rPr>
          <w:b/>
        </w:rPr>
        <w:t>Role-based training estimate.</w:t>
      </w:r>
      <w:r>
        <w:rPr>
          <w:b w:val="0"/>
        </w:rPr>
        <w:t xml:space="preserve"> Built from the core rows of the role matrix in Start Here (edition.json). For each SOP marked "Read and train": reading the whole SOP at 200 words per minute plus 15 minutes to discuss and sign F-100-02, and 30 minutes more for SOP-04, SOP-06, SOP-08 and SOP-09, which need a trainer-led session or knowledge check (SOP-01, 5.4.2). For each SOP marked "Know where it is": 5 minutes.</w:t>
      </w:r>
    </w:p>
    <w:tbl>
      <w:tblPr>
        <w:tblStyle w:val="TableGrid"/>
        <w:tblW w:type="auto" w:w="0"/>
        <w:jc w:val="left"/>
        <w:tblLayout w:type="fixed"/>
        <w:tblLook w:firstColumn="1" w:firstRow="1" w:lastColumn="0" w:lastRow="0" w:noHBand="0" w:noVBand="1" w:val="04A0"/>
      </w:tblPr>
      <w:tblGrid>
        <w:gridCol w:w="2081"/>
        <w:gridCol w:w="1432"/>
        <w:gridCol w:w="1432"/>
        <w:gridCol w:w="1432"/>
        <w:gridCol w:w="1499"/>
        <w:gridCol w:w="1768"/>
      </w:tblGrid>
      <w:tr>
        <w:trPr>
          <w:tblHeader w:val="true"/>
        </w:trPr>
        <w:tc>
          <w:tcPr>
            <w:tcW w:type="dxa" w:w="2081"/>
            <w:shd w:val="clear" w:color="auto" w:fill="D9E2F3"/>
          </w:tcPr>
          <w:p>
            <w:pPr>
              <w:keepNext/>
              <w:spacing w:after="0"/>
            </w:pPr>
            <w:r>
              <w:rPr>
                <w:b/>
                <w:sz w:val="19"/>
              </w:rPr>
              <w:t>Role</w:t>
            </w:r>
          </w:p>
        </w:tc>
        <w:tc>
          <w:tcPr>
            <w:tcW w:type="dxa" w:w="1432"/>
            <w:shd w:val="clear" w:color="auto" w:fill="D9E2F3"/>
          </w:tcPr>
          <w:p>
            <w:pPr>
              <w:keepNext/>
              <w:spacing w:after="0"/>
            </w:pPr>
            <w:r>
              <w:rPr>
                <w:b/>
                <w:sz w:val="19"/>
              </w:rPr>
              <w:t>Read and train</w:t>
            </w:r>
          </w:p>
        </w:tc>
        <w:tc>
          <w:tcPr>
            <w:tcW w:type="dxa" w:w="1432"/>
            <w:shd w:val="clear" w:color="auto" w:fill="D9E2F3"/>
          </w:tcPr>
          <w:p>
            <w:pPr>
              <w:keepNext/>
              <w:spacing w:after="0"/>
            </w:pPr>
            <w:r>
              <w:rPr>
                <w:b/>
                <w:sz w:val="19"/>
              </w:rPr>
              <w:t>Know where it is</w:t>
            </w:r>
          </w:p>
        </w:tc>
        <w:tc>
          <w:tcPr>
            <w:tcW w:type="dxa" w:w="1432"/>
            <w:shd w:val="clear" w:color="auto" w:fill="D9E2F3"/>
          </w:tcPr>
          <w:p>
            <w:pPr>
              <w:keepNext/>
              <w:spacing w:after="0"/>
            </w:pPr>
            <w:r>
              <w:rPr>
                <w:b/>
                <w:sz w:val="19"/>
              </w:rPr>
              <w:t>Reading</w:t>
            </w:r>
          </w:p>
        </w:tc>
        <w:tc>
          <w:tcPr>
            <w:tcW w:type="dxa" w:w="1499"/>
            <w:shd w:val="clear" w:color="auto" w:fill="D9E2F3"/>
          </w:tcPr>
          <w:p>
            <w:pPr>
              <w:keepNext/>
              <w:spacing w:after="0"/>
            </w:pPr>
            <w:r>
              <w:rPr>
                <w:b/>
                <w:sz w:val="19"/>
              </w:rPr>
              <w:t>Sessions and checks</w:t>
            </w:r>
          </w:p>
        </w:tc>
        <w:tc>
          <w:tcPr>
            <w:tcW w:type="dxa" w:w="1768"/>
            <w:shd w:val="clear" w:color="auto" w:fill="D9E2F3"/>
          </w:tcPr>
          <w:p>
            <w:pPr>
              <w:keepNext/>
              <w:spacing w:after="0"/>
            </w:pPr>
            <w:r>
              <w:rPr>
                <w:b/>
                <w:sz w:val="19"/>
              </w:rPr>
              <w:t>Estimated total</w:t>
            </w:r>
          </w:p>
        </w:tc>
      </w:tr>
      <w:tr>
        <w:trPr>
          <w:cantSplit w:val="true"/>
        </w:trPr>
        <w:tc>
          <w:tcPr>
            <w:tcW w:type="dxa" w:w="2081"/>
          </w:tcPr>
          <w:p>
            <w:pPr>
              <w:keepNext/>
              <w:spacing w:after="0"/>
            </w:pPr>
            <w:r>
              <w:rPr>
                <w:b w:val="0"/>
                <w:sz w:val="19"/>
              </w:rPr>
              <w:t>PI / Sub-I</w:t>
            </w:r>
          </w:p>
        </w:tc>
        <w:tc>
          <w:tcPr>
            <w:tcW w:type="dxa" w:w="1432"/>
          </w:tcPr>
          <w:p>
            <w:pPr>
              <w:keepNext/>
              <w:spacing w:after="0"/>
            </w:pPr>
            <w:r>
              <w:rPr>
                <w:b w:val="0"/>
                <w:sz w:val="19"/>
              </w:rPr>
              <w:t>11</w:t>
            </w:r>
          </w:p>
        </w:tc>
        <w:tc>
          <w:tcPr>
            <w:tcW w:type="dxa" w:w="1432"/>
          </w:tcPr>
          <w:p>
            <w:pPr>
              <w:keepNext/>
              <w:spacing w:after="0"/>
            </w:pPr>
            <w:r>
              <w:rPr>
                <w:b w:val="0"/>
                <w:sz w:val="19"/>
              </w:rPr>
              <w:t>5</w:t>
            </w:r>
          </w:p>
        </w:tc>
        <w:tc>
          <w:tcPr>
            <w:tcW w:type="dxa" w:w="1432"/>
          </w:tcPr>
          <w:p>
            <w:pPr>
              <w:keepNext/>
              <w:spacing w:after="0"/>
            </w:pPr>
            <w:r>
              <w:rPr>
                <w:b w:val="0"/>
                <w:sz w:val="19"/>
              </w:rPr>
              <w:t>181 min</w:t>
            </w:r>
          </w:p>
        </w:tc>
        <w:tc>
          <w:tcPr>
            <w:tcW w:type="dxa" w:w="1499"/>
          </w:tcPr>
          <w:p>
            <w:pPr>
              <w:keepNext/>
              <w:spacing w:after="0"/>
            </w:pPr>
            <w:r>
              <w:rPr>
                <w:b w:val="0"/>
                <w:sz w:val="19"/>
              </w:rPr>
              <w:t>285 min</w:t>
            </w:r>
          </w:p>
        </w:tc>
        <w:tc>
          <w:tcPr>
            <w:tcW w:type="dxa" w:w="1768"/>
          </w:tcPr>
          <w:p>
            <w:pPr>
              <w:keepNext/>
              <w:spacing w:after="0"/>
            </w:pPr>
            <w:r>
              <w:rPr>
                <w:b w:val="0"/>
                <w:sz w:val="19"/>
              </w:rPr>
              <w:t>8.2 hours</w:t>
            </w:r>
          </w:p>
        </w:tc>
      </w:tr>
      <w:tr>
        <w:trPr>
          <w:cantSplit w:val="true"/>
        </w:trPr>
        <w:tc>
          <w:tcPr>
            <w:tcW w:type="dxa" w:w="2081"/>
          </w:tcPr>
          <w:p>
            <w:pPr>
              <w:keepNext/>
              <w:spacing w:after="0"/>
            </w:pPr>
            <w:r>
              <w:rPr>
                <w:b w:val="0"/>
                <w:sz w:val="19"/>
              </w:rPr>
              <w:t>Site Director</w:t>
            </w:r>
          </w:p>
        </w:tc>
        <w:tc>
          <w:tcPr>
            <w:tcW w:type="dxa" w:w="1432"/>
          </w:tcPr>
          <w:p>
            <w:pPr>
              <w:keepNext/>
              <w:spacing w:after="0"/>
            </w:pPr>
            <w:r>
              <w:rPr>
                <w:b w:val="0"/>
                <w:sz w:val="19"/>
              </w:rPr>
              <w:t>8</w:t>
            </w:r>
          </w:p>
        </w:tc>
        <w:tc>
          <w:tcPr>
            <w:tcW w:type="dxa" w:w="1432"/>
          </w:tcPr>
          <w:p>
            <w:pPr>
              <w:keepNext/>
              <w:spacing w:after="0"/>
            </w:pPr>
            <w:r>
              <w:rPr>
                <w:b w:val="0"/>
                <w:sz w:val="19"/>
              </w:rPr>
              <w:t>3</w:t>
            </w:r>
          </w:p>
        </w:tc>
        <w:tc>
          <w:tcPr>
            <w:tcW w:type="dxa" w:w="1432"/>
          </w:tcPr>
          <w:p>
            <w:pPr>
              <w:keepNext/>
              <w:spacing w:after="0"/>
            </w:pPr>
            <w:r>
              <w:rPr>
                <w:b w:val="0"/>
                <w:sz w:val="19"/>
              </w:rPr>
              <w:t>137 min</w:t>
            </w:r>
          </w:p>
        </w:tc>
        <w:tc>
          <w:tcPr>
            <w:tcW w:type="dxa" w:w="1499"/>
          </w:tcPr>
          <w:p>
            <w:pPr>
              <w:keepNext/>
              <w:spacing w:after="0"/>
            </w:pPr>
            <w:r>
              <w:rPr>
                <w:b w:val="0"/>
                <w:sz w:val="19"/>
              </w:rPr>
              <w:t>150 min</w:t>
            </w:r>
          </w:p>
        </w:tc>
        <w:tc>
          <w:tcPr>
            <w:tcW w:type="dxa" w:w="1768"/>
          </w:tcPr>
          <w:p>
            <w:pPr>
              <w:keepNext/>
              <w:spacing w:after="0"/>
            </w:pPr>
            <w:r>
              <w:rPr>
                <w:b w:val="0"/>
                <w:sz w:val="19"/>
              </w:rPr>
              <w:t>5.0 hours</w:t>
            </w:r>
          </w:p>
        </w:tc>
      </w:tr>
      <w:tr>
        <w:trPr>
          <w:cantSplit w:val="true"/>
        </w:trPr>
        <w:tc>
          <w:tcPr>
            <w:tcW w:type="dxa" w:w="2081"/>
          </w:tcPr>
          <w:p>
            <w:pPr>
              <w:keepNext/>
              <w:spacing w:after="0"/>
            </w:pPr>
            <w:r>
              <w:rPr>
                <w:b w:val="0"/>
                <w:sz w:val="19"/>
              </w:rPr>
              <w:t>Quality Lead</w:t>
            </w:r>
          </w:p>
        </w:tc>
        <w:tc>
          <w:tcPr>
            <w:tcW w:type="dxa" w:w="1432"/>
          </w:tcPr>
          <w:p>
            <w:pPr>
              <w:keepNext/>
              <w:spacing w:after="0"/>
            </w:pPr>
            <w:r>
              <w:rPr>
                <w:b w:val="0"/>
                <w:sz w:val="19"/>
              </w:rPr>
              <w:t>16</w:t>
            </w:r>
          </w:p>
        </w:tc>
        <w:tc>
          <w:tcPr>
            <w:tcW w:type="dxa" w:w="1432"/>
          </w:tcPr>
          <w:p>
            <w:pPr>
              <w:keepNext/>
              <w:spacing w:after="0"/>
            </w:pPr>
            <w:r>
              <w:rPr>
                <w:b w:val="0"/>
                <w:sz w:val="19"/>
              </w:rPr>
              <w:t>0</w:t>
            </w:r>
          </w:p>
        </w:tc>
        <w:tc>
          <w:tcPr>
            <w:tcW w:type="dxa" w:w="1432"/>
          </w:tcPr>
          <w:p>
            <w:pPr>
              <w:keepNext/>
              <w:spacing w:after="0"/>
            </w:pPr>
            <w:r>
              <w:rPr>
                <w:b w:val="0"/>
                <w:sz w:val="19"/>
              </w:rPr>
              <w:t>263 min</w:t>
            </w:r>
          </w:p>
        </w:tc>
        <w:tc>
          <w:tcPr>
            <w:tcW w:type="dxa" w:w="1499"/>
          </w:tcPr>
          <w:p>
            <w:pPr>
              <w:keepNext/>
              <w:spacing w:after="0"/>
            </w:pPr>
            <w:r>
              <w:rPr>
                <w:b w:val="0"/>
                <w:sz w:val="19"/>
              </w:rPr>
              <w:t>360 min</w:t>
            </w:r>
          </w:p>
        </w:tc>
        <w:tc>
          <w:tcPr>
            <w:tcW w:type="dxa" w:w="1768"/>
          </w:tcPr>
          <w:p>
            <w:pPr>
              <w:keepNext/>
              <w:spacing w:after="0"/>
            </w:pPr>
            <w:r>
              <w:rPr>
                <w:b w:val="0"/>
                <w:sz w:val="19"/>
              </w:rPr>
              <w:t>10.4 hours</w:t>
            </w:r>
          </w:p>
        </w:tc>
      </w:tr>
      <w:tr>
        <w:trPr>
          <w:cantSplit w:val="true"/>
        </w:trPr>
        <w:tc>
          <w:tcPr>
            <w:tcW w:type="dxa" w:w="2081"/>
          </w:tcPr>
          <w:p>
            <w:pPr>
              <w:keepNext/>
              <w:spacing w:after="0"/>
            </w:pPr>
            <w:r>
              <w:rPr>
                <w:b w:val="0"/>
                <w:sz w:val="19"/>
              </w:rPr>
              <w:t>Regulatory Coordinator</w:t>
            </w:r>
          </w:p>
        </w:tc>
        <w:tc>
          <w:tcPr>
            <w:tcW w:type="dxa" w:w="1432"/>
          </w:tcPr>
          <w:p>
            <w:pPr>
              <w:keepNext/>
              <w:spacing w:after="0"/>
            </w:pPr>
            <w:r>
              <w:rPr>
                <w:b w:val="0"/>
                <w:sz w:val="19"/>
              </w:rPr>
              <w:t>8</w:t>
            </w:r>
          </w:p>
        </w:tc>
        <w:tc>
          <w:tcPr>
            <w:tcW w:type="dxa" w:w="1432"/>
          </w:tcPr>
          <w:p>
            <w:pPr>
              <w:keepNext/>
              <w:spacing w:after="0"/>
            </w:pPr>
            <w:r>
              <w:rPr>
                <w:b w:val="0"/>
                <w:sz w:val="19"/>
              </w:rPr>
              <w:t>6</w:t>
            </w:r>
          </w:p>
        </w:tc>
        <w:tc>
          <w:tcPr>
            <w:tcW w:type="dxa" w:w="1432"/>
          </w:tcPr>
          <w:p>
            <w:pPr>
              <w:keepNext/>
              <w:spacing w:after="0"/>
            </w:pPr>
            <w:r>
              <w:rPr>
                <w:b w:val="0"/>
                <w:sz w:val="19"/>
              </w:rPr>
              <w:t>131 min</w:t>
            </w:r>
          </w:p>
        </w:tc>
        <w:tc>
          <w:tcPr>
            <w:tcW w:type="dxa" w:w="1499"/>
          </w:tcPr>
          <w:p>
            <w:pPr>
              <w:keepNext/>
              <w:spacing w:after="0"/>
            </w:pPr>
            <w:r>
              <w:rPr>
                <w:b w:val="0"/>
                <w:sz w:val="19"/>
              </w:rPr>
              <w:t>210 min</w:t>
            </w:r>
          </w:p>
        </w:tc>
        <w:tc>
          <w:tcPr>
            <w:tcW w:type="dxa" w:w="1768"/>
          </w:tcPr>
          <w:p>
            <w:pPr>
              <w:keepNext/>
              <w:spacing w:after="0"/>
            </w:pPr>
            <w:r>
              <w:rPr>
                <w:b w:val="0"/>
                <w:sz w:val="19"/>
              </w:rPr>
              <w:t>6.2 hours</w:t>
            </w:r>
          </w:p>
        </w:tc>
      </w:tr>
      <w:tr>
        <w:trPr>
          <w:cantSplit w:val="true"/>
        </w:trPr>
        <w:tc>
          <w:tcPr>
            <w:tcW w:type="dxa" w:w="2081"/>
          </w:tcPr>
          <w:p>
            <w:pPr>
              <w:keepNext/>
              <w:spacing w:after="0"/>
            </w:pPr>
            <w:r>
              <w:rPr>
                <w:b w:val="0"/>
                <w:sz w:val="19"/>
              </w:rPr>
              <w:t>CRC</w:t>
            </w:r>
          </w:p>
        </w:tc>
        <w:tc>
          <w:tcPr>
            <w:tcW w:type="dxa" w:w="1432"/>
          </w:tcPr>
          <w:p>
            <w:pPr>
              <w:keepNext/>
              <w:spacing w:after="0"/>
            </w:pPr>
            <w:r>
              <w:rPr>
                <w:b w:val="0"/>
                <w:sz w:val="19"/>
              </w:rPr>
              <w:t>11</w:t>
            </w:r>
          </w:p>
        </w:tc>
        <w:tc>
          <w:tcPr>
            <w:tcW w:type="dxa" w:w="1432"/>
          </w:tcPr>
          <w:p>
            <w:pPr>
              <w:keepNext/>
              <w:spacing w:after="0"/>
            </w:pPr>
            <w:r>
              <w:rPr>
                <w:b w:val="0"/>
                <w:sz w:val="19"/>
              </w:rPr>
              <w:t>5</w:t>
            </w:r>
          </w:p>
        </w:tc>
        <w:tc>
          <w:tcPr>
            <w:tcW w:type="dxa" w:w="1432"/>
          </w:tcPr>
          <w:p>
            <w:pPr>
              <w:keepNext/>
              <w:spacing w:after="0"/>
            </w:pPr>
            <w:r>
              <w:rPr>
                <w:b w:val="0"/>
                <w:sz w:val="19"/>
              </w:rPr>
              <w:t>174 min</w:t>
            </w:r>
          </w:p>
        </w:tc>
        <w:tc>
          <w:tcPr>
            <w:tcW w:type="dxa" w:w="1499"/>
          </w:tcPr>
          <w:p>
            <w:pPr>
              <w:keepNext/>
              <w:spacing w:after="0"/>
            </w:pPr>
            <w:r>
              <w:rPr>
                <w:b w:val="0"/>
                <w:sz w:val="19"/>
              </w:rPr>
              <w:t>255 min</w:t>
            </w:r>
          </w:p>
        </w:tc>
        <w:tc>
          <w:tcPr>
            <w:tcW w:type="dxa" w:w="1768"/>
          </w:tcPr>
          <w:p>
            <w:pPr>
              <w:keepNext/>
              <w:spacing w:after="0"/>
            </w:pPr>
            <w:r>
              <w:rPr>
                <w:b w:val="0"/>
                <w:sz w:val="19"/>
              </w:rPr>
              <w:t>7.6 hours</w:t>
            </w:r>
          </w:p>
        </w:tc>
      </w:tr>
      <w:tr>
        <w:trPr>
          <w:cantSplit w:val="true"/>
        </w:trPr>
        <w:tc>
          <w:tcPr>
            <w:tcW w:type="dxa" w:w="2081"/>
          </w:tcPr>
          <w:p>
            <w:pPr>
              <w:keepNext/>
              <w:spacing w:after="0"/>
            </w:pPr>
            <w:r>
              <w:rPr>
                <w:b w:val="0"/>
                <w:sz w:val="19"/>
              </w:rPr>
              <w:t>IP Manager</w:t>
            </w:r>
          </w:p>
        </w:tc>
        <w:tc>
          <w:tcPr>
            <w:tcW w:type="dxa" w:w="1432"/>
          </w:tcPr>
          <w:p>
            <w:pPr>
              <w:keepNext/>
              <w:spacing w:after="0"/>
            </w:pPr>
            <w:r>
              <w:rPr>
                <w:b w:val="0"/>
                <w:sz w:val="19"/>
              </w:rPr>
              <w:t>9</w:t>
            </w:r>
          </w:p>
        </w:tc>
        <w:tc>
          <w:tcPr>
            <w:tcW w:type="dxa" w:w="1432"/>
          </w:tcPr>
          <w:p>
            <w:pPr>
              <w:keepNext/>
              <w:spacing w:after="0"/>
            </w:pPr>
            <w:r>
              <w:rPr>
                <w:b w:val="0"/>
                <w:sz w:val="19"/>
              </w:rPr>
              <w:t>5</w:t>
            </w:r>
          </w:p>
        </w:tc>
        <w:tc>
          <w:tcPr>
            <w:tcW w:type="dxa" w:w="1432"/>
          </w:tcPr>
          <w:p>
            <w:pPr>
              <w:keepNext/>
              <w:spacing w:after="0"/>
            </w:pPr>
            <w:r>
              <w:rPr>
                <w:b w:val="0"/>
                <w:sz w:val="19"/>
              </w:rPr>
              <w:t>135 min</w:t>
            </w:r>
          </w:p>
        </w:tc>
        <w:tc>
          <w:tcPr>
            <w:tcW w:type="dxa" w:w="1499"/>
          </w:tcPr>
          <w:p>
            <w:pPr>
              <w:keepNext/>
              <w:spacing w:after="0"/>
            </w:pPr>
            <w:r>
              <w:rPr>
                <w:b w:val="0"/>
                <w:sz w:val="19"/>
              </w:rPr>
              <w:t>195 min</w:t>
            </w:r>
          </w:p>
        </w:tc>
        <w:tc>
          <w:tcPr>
            <w:tcW w:type="dxa" w:w="1768"/>
          </w:tcPr>
          <w:p>
            <w:pPr>
              <w:keepNext/>
              <w:spacing w:after="0"/>
            </w:pPr>
            <w:r>
              <w:rPr>
                <w:b w:val="0"/>
                <w:sz w:val="19"/>
              </w:rPr>
              <w:t>5.9 hours</w:t>
            </w:r>
          </w:p>
        </w:tc>
      </w:tr>
      <w:tr>
        <w:trPr>
          <w:cantSplit w:val="true"/>
        </w:trPr>
        <w:tc>
          <w:tcPr>
            <w:tcW w:type="dxa" w:w="2081"/>
          </w:tcPr>
          <w:p>
            <w:pPr>
              <w:spacing w:after="0"/>
            </w:pPr>
            <w:r>
              <w:rPr>
                <w:b w:val="0"/>
                <w:sz w:val="19"/>
              </w:rPr>
              <w:t>Finance / Contracts</w:t>
            </w:r>
          </w:p>
        </w:tc>
        <w:tc>
          <w:tcPr>
            <w:tcW w:type="dxa" w:w="1432"/>
          </w:tcPr>
          <w:p>
            <w:pPr>
              <w:spacing w:after="0"/>
            </w:pPr>
            <w:r>
              <w:rPr>
                <w:b w:val="0"/>
                <w:sz w:val="19"/>
              </w:rPr>
              <w:t>4</w:t>
            </w:r>
          </w:p>
        </w:tc>
        <w:tc>
          <w:tcPr>
            <w:tcW w:type="dxa" w:w="1432"/>
          </w:tcPr>
          <w:p>
            <w:pPr>
              <w:spacing w:after="0"/>
            </w:pPr>
            <w:r>
              <w:rPr>
                <w:b w:val="0"/>
                <w:sz w:val="19"/>
              </w:rPr>
              <w:t>2</w:t>
            </w:r>
          </w:p>
        </w:tc>
        <w:tc>
          <w:tcPr>
            <w:tcW w:type="dxa" w:w="1432"/>
          </w:tcPr>
          <w:p>
            <w:pPr>
              <w:spacing w:after="0"/>
            </w:pPr>
            <w:r>
              <w:rPr>
                <w:b w:val="0"/>
                <w:sz w:val="19"/>
              </w:rPr>
              <w:t>58 min</w:t>
            </w:r>
          </w:p>
        </w:tc>
        <w:tc>
          <w:tcPr>
            <w:tcW w:type="dxa" w:w="1499"/>
          </w:tcPr>
          <w:p>
            <w:pPr>
              <w:spacing w:after="0"/>
            </w:pPr>
            <w:r>
              <w:rPr>
                <w:b w:val="0"/>
                <w:sz w:val="19"/>
              </w:rPr>
              <w:t>60 min</w:t>
            </w:r>
          </w:p>
        </w:tc>
        <w:tc>
          <w:tcPr>
            <w:tcW w:type="dxa" w:w="1768"/>
          </w:tcPr>
          <w:p>
            <w:pPr>
              <w:spacing w:after="0"/>
            </w:pPr>
            <w:r>
              <w:rPr>
                <w:b w:val="0"/>
                <w:sz w:val="19"/>
              </w:rPr>
              <w:t>2.1 hours</w:t>
            </w:r>
          </w:p>
        </w:tc>
      </w:tr>
    </w:tbl>
    <w:p>
      <w:pPr>
        <w:spacing w:after="40"/>
      </w:pPr>
    </w:p>
    <w:p>
      <w:pPr/>
      <w:r>
        <w:rPr>
          <w:b w:val="0"/>
        </w:rPr>
        <w:t>Add the reading time of each adopted module (10 to 17 minutes) for the roles the module rows of the matrix mark, for example SOP-M2 for the Finance / Contracts Lead and SOP-M4 for CRCs who run remote visits. A person holding several roles trains once on each SOP at the highest level any of their roles needs; their hours are not the sum of the rows.</w:t>
      </w:r>
    </w:p>
    <w:p>
      <w:pPr>
        <w:pStyle w:val="Heading1"/>
      </w:pPr>
      <w:r>
        <w:t>4. Step-by-step adoption</w:t>
      </w:r>
    </w:p>
    <w:p>
      <w:pPr>
        <w:pStyle w:val="Heading2"/>
      </w:pPr>
      <w:r>
        <w:t>Step 1. Name the Quality Lead and the independent reviewer</w:t>
      </w:r>
    </w:p>
    <w:p>
      <w:pPr/>
      <w:r>
        <w:rPr>
          <w:b w:val="0"/>
        </w:rPr>
        <w:t>The Site Director names the Quality Lead, who runs the adoption and owns the SOP system afterwards (SOP-01). The Site Director also names the independent reviewer now, not when a conflict arises (SOP-02, 5.2 and decision L-02 below). The reviewer must not be employed by or report to the owner, PI or Site Director. A small site uses this person for reviews of its leaders' own work, the annual internal audit, fallback consent QC (SOP-14, 5.4.2), the anonymous integrity route (SOP-M5, if adopted) and the approvals SOP-01, 5.3.5 sends to it (Step 7). Record both on F-102-01.</w:t>
      </w:r>
    </w:p>
    <w:p>
      <w:pPr/>
      <w:r>
        <w:rPr>
          <w:b w:val="0"/>
        </w:rPr>
        <w:t>At most small sites the independent reviewer is an outside person. People who usually qualify:</w:t>
      </w:r>
    </w:p>
    <w:p>
      <w:pPr>
        <w:pStyle w:val="ListBullet"/>
        <w:spacing w:after="40"/>
        <w:ind w:left="360" w:hanging="259"/>
      </w:pPr>
      <w:r>
        <w:rPr>
          <w:b w:val="0"/>
        </w:rPr>
        <w:t>an independent GCP or clinical QA consultant</w:t>
      </w:r>
    </w:p>
    <w:p>
      <w:pPr>
        <w:pStyle w:val="ListBullet"/>
        <w:spacing w:after="40"/>
        <w:ind w:left="360" w:hanging="259"/>
      </w:pPr>
      <w:r>
        <w:rPr>
          <w:b w:val="0"/>
        </w:rPr>
        <w:t>the QA lead at a peer site, often under a reciprocal arrangement in which each site reviews the other</w:t>
      </w:r>
    </w:p>
    <w:p>
      <w:pPr>
        <w:pStyle w:val="ListBullet"/>
        <w:spacing w:after="40"/>
        <w:ind w:left="360" w:hanging="259"/>
      </w:pPr>
      <w:r>
        <w:rPr>
          <w:b w:val="0"/>
        </w:rPr>
        <w:t>a retired CRA, monitor or GCP auditor</w:t>
      </w:r>
    </w:p>
    <w:p>
      <w:pPr/>
      <w:r>
        <w:rPr>
          <w:b w:val="0"/>
        </w:rPr>
        <w:t>The person needs GCP training, working knowledge of site operations and no employment, ownership or reporting tie to the owner, PI or Site Director. Record the engagement in a letter or agreement filed in the quality file (or on F-105-01 if SOP-M1 is adopted) that states the services, the expected annual hours (see the effort estimate, section 3: about 20 to 40 hours a year), the turnaround for each SOP clock the reviewer serves (for example 10 business days for fallback consent QC), the fee or hourly budget, confidentiality terms or a BAA for access to participant records, and how the reviewer's training is recorded on F-103-01. The answer goes in decision L-02.</w:t>
      </w:r>
    </w:p>
    <w:p>
      <w:pPr>
        <w:pStyle w:val="Heading2"/>
      </w:pPr>
      <w:r>
        <w:t>Step 2. Replace the placeholders</w:t>
      </w:r>
    </w:p>
    <w:p>
      <w:pPr/>
      <w:r>
        <w:rPr>
          <w:b w:val="0"/>
        </w:rPr>
        <w:t xml:space="preserve">Placeholders are capitalized text in square brackets. Replace the site-wide ones across all SOPs and forms first: </w:t>
      </w:r>
      <w:r>
        <w:rPr>
          <w:b w:val="0"/>
          <w:highlight w:val="yellow"/>
        </w:rPr>
        <w:t>[SITE NAME]</w:t>
      </w:r>
      <w:r>
        <w:rPr>
          <w:b w:val="0"/>
        </w:rPr>
        <w:t xml:space="preserve">, </w:t>
      </w:r>
      <w:r>
        <w:rPr>
          <w:b w:val="0"/>
          <w:highlight w:val="yellow"/>
        </w:rPr>
        <w:t>[SITE LEGAL NAME]</w:t>
      </w:r>
      <w:r>
        <w:rPr>
          <w:b w:val="0"/>
        </w:rPr>
        <w:t xml:space="preserve">, </w:t>
      </w:r>
      <w:r>
        <w:rPr>
          <w:b w:val="0"/>
          <w:highlight w:val="yellow"/>
        </w:rPr>
        <w:t>[CENTRAL IRB NAME]</w:t>
      </w:r>
      <w:r>
        <w:rPr>
          <w:b w:val="0"/>
        </w:rPr>
        <w:t xml:space="preserve">, </w:t>
      </w:r>
      <w:r>
        <w:rPr>
          <w:b w:val="0"/>
          <w:highlight w:val="yellow"/>
        </w:rPr>
        <w:t>[STATE]</w:t>
      </w:r>
      <w:r>
        <w:rPr>
          <w:b w:val="0"/>
        </w:rPr>
        <w:t xml:space="preserve">, </w:t>
      </w:r>
      <w:r>
        <w:rPr>
          <w:b w:val="0"/>
          <w:highlight w:val="yellow"/>
        </w:rPr>
        <w:t>[LEGAL COUNSEL]</w:t>
      </w:r>
      <w:r>
        <w:rPr>
          <w:b w:val="0"/>
        </w:rPr>
        <w:t xml:space="preserve">, </w:t>
      </w:r>
      <w:r>
        <w:rPr>
          <w:b w:val="0"/>
          <w:highlight w:val="yellow"/>
        </w:rPr>
        <w:t>[IT SUPPORT PROVIDER]</w:t>
      </w:r>
      <w:r>
        <w:rPr>
          <w:b w:val="0"/>
        </w:rPr>
        <w:t xml:space="preserve">, </w:t>
      </w:r>
      <w:r>
        <w:rPr>
          <w:b w:val="0"/>
          <w:highlight w:val="yellow"/>
        </w:rPr>
        <w:t>[PRIVACY OFFICER NAME]</w:t>
      </w:r>
      <w:r>
        <w:rPr>
          <w:b w:val="0"/>
        </w:rPr>
        <w:t xml:space="preserve">, </w:t>
      </w:r>
      <w:r>
        <w:rPr>
          <w:b w:val="0"/>
          <w:highlight w:val="yellow"/>
        </w:rPr>
        <w:t>[SECURITY OFFICER NAME]</w:t>
      </w:r>
      <w:r>
        <w:rPr>
          <w:b w:val="0"/>
        </w:rPr>
        <w:t>. Placeholders that name a tool or location (</w:t>
      </w:r>
      <w:r>
        <w:rPr>
          <w:b w:val="0"/>
          <w:highlight w:val="yellow"/>
        </w:rPr>
        <w:t>[IRB TRACKER]</w:t>
      </w:r>
      <w:r>
        <w:rPr>
          <w:b w:val="0"/>
        </w:rPr>
        <w:t xml:space="preserve">, </w:t>
      </w:r>
      <w:r>
        <w:rPr>
          <w:b w:val="0"/>
          <w:highlight w:val="yellow"/>
        </w:rPr>
        <w:t>[CONTRACT TRACKER]</w:t>
      </w:r>
      <w:r>
        <w:rPr>
          <w:b w:val="0"/>
        </w:rPr>
        <w:t xml:space="preserve">, </w:t>
      </w:r>
      <w:r>
        <w:rPr>
          <w:b w:val="0"/>
          <w:highlight w:val="yellow"/>
        </w:rPr>
        <w:t>[CONTRACTS FOLDER]</w:t>
      </w:r>
      <w:r>
        <w:rPr>
          <w:b w:val="0"/>
        </w:rPr>
        <w:t xml:space="preserve">, </w:t>
      </w:r>
      <w:r>
        <w:rPr>
          <w:b w:val="0"/>
          <w:highlight w:val="yellow"/>
        </w:rPr>
        <w:t>[SOP REPOSITORY LOCATION]</w:t>
      </w:r>
      <w:r>
        <w:rPr>
          <w:b w:val="0"/>
        </w:rPr>
        <w:t xml:space="preserve">, </w:t>
      </w:r>
      <w:r>
        <w:rPr>
          <w:b w:val="0"/>
          <w:highlight w:val="yellow"/>
        </w:rPr>
        <w:t>[QUALITY FILE LOCATION]</w:t>
      </w:r>
      <w:r>
        <w:rPr>
          <w:b w:val="0"/>
        </w:rPr>
        <w:t xml:space="preserve">, </w:t>
      </w:r>
      <w:r>
        <w:rPr>
          <w:b w:val="0"/>
          <w:highlight w:val="yellow"/>
        </w:rPr>
        <w:t>[DOWNTIME FORMS LOCATION]</w:t>
      </w:r>
      <w:r>
        <w:rPr>
          <w:b w:val="0"/>
        </w:rPr>
        <w:t xml:space="preserve">, </w:t>
      </w:r>
      <w:r>
        <w:rPr>
          <w:b w:val="0"/>
          <w:highlight w:val="yellow"/>
        </w:rPr>
        <w:t>[PRACTICE MANAGEMENT SYSTEM]</w:t>
      </w:r>
      <w:r>
        <w:rPr>
          <w:b w:val="0"/>
        </w:rPr>
        <w:t xml:space="preserve"> where the site bills clinical care) get the actual system or folder; if the site has none, decide what it will use before the effective date.</w:t>
      </w:r>
    </w:p>
    <w:p>
      <w:pPr/>
      <w:r>
        <w:rPr>
          <w:b w:val="0"/>
        </w:rPr>
        <w:t xml:space="preserve">Generic placeholders such as </w:t>
      </w:r>
      <w:r>
        <w:rPr>
          <w:b w:val="0"/>
          <w:highlight w:val="yellow"/>
        </w:rPr>
        <w:t>[DATE]</w:t>
      </w:r>
      <w:r>
        <w:rPr>
          <w:b w:val="0"/>
        </w:rPr>
        <w:t xml:space="preserve">, </w:t>
      </w:r>
      <w:r>
        <w:rPr>
          <w:b w:val="0"/>
          <w:highlight w:val="yellow"/>
        </w:rPr>
        <w:t>[NAME]</w:t>
      </w:r>
      <w:r>
        <w:rPr>
          <w:b w:val="0"/>
        </w:rPr>
        <w:t xml:space="preserve">, </w:t>
      </w:r>
      <w:r>
        <w:rPr>
          <w:b w:val="0"/>
          <w:highlight w:val="yellow"/>
        </w:rPr>
        <w:t>[N]</w:t>
      </w:r>
      <w:r>
        <w:rPr>
          <w:b w:val="0"/>
        </w:rPr>
        <w:t xml:space="preserve"> and </w:t>
      </w:r>
      <w:r>
        <w:rPr>
          <w:b w:val="0"/>
          <w:highlight w:val="yellow"/>
        </w:rPr>
        <w:t>[ROLES]</w:t>
      </w:r>
      <w:r>
        <w:rPr>
          <w:b w:val="0"/>
        </w:rPr>
        <w:t xml:space="preserve"> mean different things in different places. Resolve each one in place, reading the sentence around it, and never with a global replace. Placeholders inside a Site decision box are resolved in Step 3.</w:t>
      </w:r>
    </w:p>
    <w:p>
      <w:pPr/>
      <w:r>
        <w:rPr>
          <w:b w:val="0"/>
        </w:rPr>
        <w:t xml:space="preserve">When finished, search for the opening square bracket. No placeholder, Site decision box or </w:t>
      </w:r>
      <w:r>
        <w:rPr>
          <w:b w:val="0"/>
          <w:highlight w:val="green"/>
        </w:rPr>
        <w:t>[DEFAULT]</w:t>
      </w:r>
      <w:r>
        <w:rPr>
          <w:b w:val="0"/>
        </w:rPr>
        <w:t xml:space="preserve"> marker may remain in an approved SOP (SOP-01, 5.7.2).</w:t>
      </w:r>
    </w:p>
    <w:p>
      <w:pPr>
        <w:pStyle w:val="Heading2"/>
      </w:pPr>
      <w:r>
        <w:t>Step 3. Decide every Site decision</w:t>
      </w:r>
    </w:p>
    <w:p>
      <w:pPr/>
      <w:r>
        <w:rPr>
          <w:b w:val="0"/>
        </w:rPr>
        <w:t>The Lean core has 15 Site decision boxes and the modules have 5, 20 in all. Each is a real choice the library cannot make for the site. The Quality Lead takes each question to the person who owns it (usually the PI or Site Director, with counsel for L-12 and L-19), records the answer in the register below, and then replaces the box with the resulting text. Delete the module rows for modules not adopted. Keep the completed register in the quality file; sponsors and auditors may ask how a choice was made.</w:t>
      </w:r>
    </w:p>
    <w:tbl>
      <w:tblPr>
        <w:tblStyle w:val="TableGrid"/>
        <w:tblW w:type="auto" w:w="0"/>
        <w:jc w:val="left"/>
        <w:tblLayout w:type="fixed"/>
        <w:tblLook w:firstColumn="1" w:firstRow="1" w:lastColumn="0" w:lastRow="0" w:noHBand="0" w:noVBand="1" w:val="04A0"/>
      </w:tblPr>
      <w:tblGrid>
        <w:gridCol w:w="802"/>
        <w:gridCol w:w="1122"/>
        <w:gridCol w:w="5516"/>
        <w:gridCol w:w="2206"/>
      </w:tblGrid>
      <w:tr>
        <w:trPr>
          <w:tblHeader w:val="true"/>
        </w:trPr>
        <w:tc>
          <w:tcPr>
            <w:tcW w:type="dxa" w:w="802"/>
            <w:shd w:val="clear" w:color="auto" w:fill="D9E2F3"/>
          </w:tcPr>
          <w:p>
            <w:pPr>
              <w:spacing w:after="0"/>
            </w:pPr>
            <w:r>
              <w:rPr>
                <w:b/>
                <w:sz w:val="19"/>
              </w:rPr>
              <w:t>ID</w:t>
            </w:r>
          </w:p>
        </w:tc>
        <w:tc>
          <w:tcPr>
            <w:tcW w:type="dxa" w:w="1122"/>
            <w:shd w:val="clear" w:color="auto" w:fill="D9E2F3"/>
          </w:tcPr>
          <w:p>
            <w:pPr>
              <w:spacing w:after="0"/>
            </w:pPr>
            <w:r>
              <w:rPr>
                <w:b/>
                <w:sz w:val="19"/>
              </w:rPr>
              <w:t>SOP and section</w:t>
            </w:r>
          </w:p>
        </w:tc>
        <w:tc>
          <w:tcPr>
            <w:tcW w:type="dxa" w:w="5516"/>
            <w:shd w:val="clear" w:color="auto" w:fill="D9E2F3"/>
          </w:tcPr>
          <w:p>
            <w:pPr>
              <w:spacing w:after="0"/>
            </w:pPr>
            <w:r>
              <w:rPr>
                <w:b/>
                <w:sz w:val="19"/>
              </w:rPr>
              <w:t>Question</w:t>
            </w:r>
          </w:p>
        </w:tc>
        <w:tc>
          <w:tcPr>
            <w:tcW w:type="dxa" w:w="2206"/>
            <w:shd w:val="clear" w:color="auto" w:fill="D9E2F3"/>
          </w:tcPr>
          <w:p>
            <w:pPr>
              <w:spacing w:after="0"/>
            </w:pPr>
            <w:r>
              <w:rPr>
                <w:b/>
                <w:sz w:val="19"/>
              </w:rPr>
              <w:t>Decision, by whom, date</w:t>
            </w:r>
          </w:p>
        </w:tc>
      </w:tr>
      <w:tr>
        <w:trPr>
          <w:cantSplit w:val="true"/>
          <w:trHeight w:val="432"/>
        </w:trPr>
        <w:tc>
          <w:tcPr>
            <w:tcW w:type="dxa" w:w="802"/>
          </w:tcPr>
          <w:p>
            <w:pPr>
              <w:spacing w:after="0"/>
            </w:pPr>
            <w:r>
              <w:rPr>
                <w:b w:val="0"/>
                <w:sz w:val="19"/>
              </w:rPr>
              <w:t>L-01</w:t>
            </w:r>
          </w:p>
        </w:tc>
        <w:tc>
          <w:tcPr>
            <w:tcW w:type="dxa" w:w="1122"/>
          </w:tcPr>
          <w:p>
            <w:pPr>
              <w:spacing w:after="0"/>
            </w:pPr>
            <w:r>
              <w:rPr>
                <w:b w:val="0"/>
                <w:sz w:val="19"/>
              </w:rPr>
              <w:t>SOP-01, 5.8</w:t>
            </w:r>
          </w:p>
        </w:tc>
        <w:tc>
          <w:tcPr>
            <w:tcW w:type="dxa" w:w="5516"/>
          </w:tcPr>
          <w:p>
            <w:pPr>
              <w:spacing w:after="0"/>
            </w:pPr>
            <w:r>
              <w:rPr>
                <w:b w:val="0"/>
                <w:sz w:val="19"/>
              </w:rPr>
              <w:t>Which roles must hold BLS or ACLS certification</w:t>
            </w:r>
          </w:p>
        </w:tc>
        <w:tc>
          <w:tcPr>
            <w:tcW w:type="dxa" w:w="2206"/>
          </w:tcPr>
          <w:p>
            <w:pPr>
              <w:spacing w:after="0"/>
            </w:pPr>
          </w:p>
        </w:tc>
      </w:tr>
      <w:tr>
        <w:trPr>
          <w:cantSplit w:val="true"/>
          <w:trHeight w:val="432"/>
        </w:trPr>
        <w:tc>
          <w:tcPr>
            <w:tcW w:type="dxa" w:w="802"/>
          </w:tcPr>
          <w:p>
            <w:pPr>
              <w:spacing w:after="0"/>
            </w:pPr>
            <w:r>
              <w:rPr>
                <w:b w:val="0"/>
                <w:sz w:val="19"/>
              </w:rPr>
              <w:t>L-02</w:t>
            </w:r>
          </w:p>
        </w:tc>
        <w:tc>
          <w:tcPr>
            <w:tcW w:type="dxa" w:w="1122"/>
          </w:tcPr>
          <w:p>
            <w:pPr>
              <w:spacing w:after="0"/>
            </w:pPr>
            <w:r>
              <w:rPr>
                <w:b w:val="0"/>
                <w:sz w:val="19"/>
              </w:rPr>
              <w:t>SOP-02, 5.2</w:t>
            </w:r>
          </w:p>
        </w:tc>
        <w:tc>
          <w:tcPr>
            <w:tcW w:type="dxa" w:w="5516"/>
          </w:tcPr>
          <w:p>
            <w:pPr>
              <w:spacing w:after="0"/>
            </w:pPr>
            <w:r>
              <w:rPr>
                <w:b w:val="0"/>
                <w:sz w:val="19"/>
              </w:rPr>
              <w:t>Who the independent reviewer is: name, qualifications, services, expected annual hours, turnaround for each SOP clock, fee or hourly budget, and PHI access terms (Step 1)</w:t>
            </w:r>
          </w:p>
        </w:tc>
        <w:tc>
          <w:tcPr>
            <w:tcW w:type="dxa" w:w="2206"/>
          </w:tcPr>
          <w:p>
            <w:pPr>
              <w:spacing w:after="0"/>
            </w:pPr>
          </w:p>
        </w:tc>
      </w:tr>
      <w:tr>
        <w:trPr>
          <w:cantSplit w:val="true"/>
          <w:trHeight w:val="432"/>
        </w:trPr>
        <w:tc>
          <w:tcPr>
            <w:tcW w:type="dxa" w:w="802"/>
          </w:tcPr>
          <w:p>
            <w:pPr>
              <w:spacing w:after="0"/>
            </w:pPr>
            <w:r>
              <w:rPr>
                <w:b w:val="0"/>
                <w:sz w:val="19"/>
              </w:rPr>
              <w:t>L-03</w:t>
            </w:r>
          </w:p>
        </w:tc>
        <w:tc>
          <w:tcPr>
            <w:tcW w:type="dxa" w:w="1122"/>
          </w:tcPr>
          <w:p>
            <w:pPr>
              <w:spacing w:after="0"/>
            </w:pPr>
            <w:r>
              <w:rPr>
                <w:b w:val="0"/>
                <w:sz w:val="19"/>
              </w:rPr>
              <w:t>SOP-02, 5.4</w:t>
            </w:r>
          </w:p>
        </w:tc>
        <w:tc>
          <w:tcPr>
            <w:tcW w:type="dxa" w:w="5516"/>
          </w:tcPr>
          <w:p>
            <w:pPr>
              <w:spacing w:after="0"/>
            </w:pPr>
            <w:r>
              <w:rPr>
                <w:b w:val="0"/>
                <w:sz w:val="19"/>
              </w:rPr>
              <w:t>Maximum actively enrolling studies per PI, and any higher limit where a Sub-I shares investigator duties</w:t>
            </w:r>
          </w:p>
        </w:tc>
        <w:tc>
          <w:tcPr>
            <w:tcW w:type="dxa" w:w="2206"/>
          </w:tcPr>
          <w:p>
            <w:pPr>
              <w:spacing w:after="0"/>
            </w:pPr>
          </w:p>
        </w:tc>
      </w:tr>
      <w:tr>
        <w:trPr>
          <w:cantSplit w:val="true"/>
          <w:trHeight w:val="432"/>
        </w:trPr>
        <w:tc>
          <w:tcPr>
            <w:tcW w:type="dxa" w:w="802"/>
          </w:tcPr>
          <w:p>
            <w:pPr>
              <w:spacing w:after="0"/>
            </w:pPr>
            <w:r>
              <w:rPr>
                <w:b w:val="0"/>
                <w:sz w:val="19"/>
              </w:rPr>
              <w:t>L-04</w:t>
            </w:r>
          </w:p>
        </w:tc>
        <w:tc>
          <w:tcPr>
            <w:tcW w:type="dxa" w:w="1122"/>
          </w:tcPr>
          <w:p>
            <w:pPr>
              <w:spacing w:after="0"/>
            </w:pPr>
            <w:r>
              <w:rPr>
                <w:b w:val="0"/>
                <w:sz w:val="19"/>
              </w:rPr>
              <w:t>SOP-02, 5.8</w:t>
            </w:r>
          </w:p>
        </w:tc>
        <w:tc>
          <w:tcPr>
            <w:tcW w:type="dxa" w:w="5516"/>
          </w:tcPr>
          <w:p>
            <w:pPr>
              <w:spacing w:after="0"/>
            </w:pPr>
            <w:r>
              <w:rPr>
                <w:b w:val="0"/>
                <w:sz w:val="19"/>
              </w:rPr>
              <w:t>Any general performance pay or owner distribution linked to recruitment or enrollment results but not to a specific individual: its structure and the IRB disclosure decision</w:t>
            </w:r>
          </w:p>
        </w:tc>
        <w:tc>
          <w:tcPr>
            <w:tcW w:type="dxa" w:w="2206"/>
          </w:tcPr>
          <w:p>
            <w:pPr>
              <w:spacing w:after="0"/>
            </w:pPr>
          </w:p>
        </w:tc>
      </w:tr>
      <w:tr>
        <w:trPr>
          <w:cantSplit w:val="true"/>
          <w:trHeight w:val="432"/>
        </w:trPr>
        <w:tc>
          <w:tcPr>
            <w:tcW w:type="dxa" w:w="802"/>
          </w:tcPr>
          <w:p>
            <w:pPr>
              <w:spacing w:after="0"/>
            </w:pPr>
            <w:r>
              <w:rPr>
                <w:b w:val="0"/>
                <w:sz w:val="19"/>
              </w:rPr>
              <w:t>L-05</w:t>
            </w:r>
          </w:p>
        </w:tc>
        <w:tc>
          <w:tcPr>
            <w:tcW w:type="dxa" w:w="1122"/>
          </w:tcPr>
          <w:p>
            <w:pPr>
              <w:spacing w:after="0"/>
            </w:pPr>
            <w:r>
              <w:rPr>
                <w:b w:val="0"/>
                <w:sz w:val="19"/>
              </w:rPr>
              <w:t>SOP-03, 5.6</w:t>
            </w:r>
          </w:p>
        </w:tc>
        <w:tc>
          <w:tcPr>
            <w:tcW w:type="dxa" w:w="5516"/>
          </w:tcPr>
          <w:p>
            <w:pPr>
              <w:spacing w:after="0"/>
            </w:pPr>
            <w:r>
              <w:rPr>
                <w:b w:val="0"/>
                <w:sz w:val="19"/>
              </w:rPr>
              <w:t>Default ISF format: paper, site eISF (which system) or sponsor eISF accepted</w:t>
            </w:r>
          </w:p>
        </w:tc>
        <w:tc>
          <w:tcPr>
            <w:tcW w:type="dxa" w:w="2206"/>
          </w:tcPr>
          <w:p>
            <w:pPr>
              <w:spacing w:after="0"/>
            </w:pPr>
          </w:p>
        </w:tc>
      </w:tr>
      <w:tr>
        <w:trPr>
          <w:cantSplit w:val="true"/>
          <w:trHeight w:val="432"/>
        </w:trPr>
        <w:tc>
          <w:tcPr>
            <w:tcW w:type="dxa" w:w="802"/>
          </w:tcPr>
          <w:p>
            <w:pPr>
              <w:spacing w:after="0"/>
            </w:pPr>
            <w:r>
              <w:rPr>
                <w:b w:val="0"/>
                <w:sz w:val="19"/>
              </w:rPr>
              <w:t>L-06</w:t>
            </w:r>
          </w:p>
        </w:tc>
        <w:tc>
          <w:tcPr>
            <w:tcW w:type="dxa" w:w="1122"/>
          </w:tcPr>
          <w:p>
            <w:pPr>
              <w:spacing w:after="0"/>
            </w:pPr>
            <w:r>
              <w:rPr>
                <w:b w:val="0"/>
                <w:sz w:val="19"/>
              </w:rPr>
              <w:t>SOP-04, 5.1</w:t>
            </w:r>
          </w:p>
        </w:tc>
        <w:tc>
          <w:tcPr>
            <w:tcW w:type="dxa" w:w="5516"/>
          </w:tcPr>
          <w:p>
            <w:pPr>
              <w:spacing w:after="0"/>
            </w:pPr>
            <w:r>
              <w:rPr>
                <w:b w:val="0"/>
                <w:sz w:val="19"/>
              </w:rPr>
              <w:t>Which roles may obtain consent, and studies or populations where only an investigator may</w:t>
            </w:r>
          </w:p>
        </w:tc>
        <w:tc>
          <w:tcPr>
            <w:tcW w:type="dxa" w:w="2206"/>
          </w:tcPr>
          <w:p>
            <w:pPr>
              <w:spacing w:after="0"/>
            </w:pPr>
          </w:p>
        </w:tc>
      </w:tr>
      <w:tr>
        <w:trPr>
          <w:cantSplit w:val="true"/>
          <w:trHeight w:val="432"/>
        </w:trPr>
        <w:tc>
          <w:tcPr>
            <w:tcW w:type="dxa" w:w="802"/>
          </w:tcPr>
          <w:p>
            <w:pPr>
              <w:spacing w:after="0"/>
            </w:pPr>
            <w:r>
              <w:rPr>
                <w:b w:val="0"/>
                <w:sz w:val="19"/>
              </w:rPr>
              <w:t>L-07</w:t>
            </w:r>
          </w:p>
        </w:tc>
        <w:tc>
          <w:tcPr>
            <w:tcW w:type="dxa" w:w="1122"/>
          </w:tcPr>
          <w:p>
            <w:pPr>
              <w:spacing w:after="0"/>
            </w:pPr>
            <w:r>
              <w:rPr>
                <w:b w:val="0"/>
                <w:sz w:val="19"/>
              </w:rPr>
              <w:t>SOP-04, 5.3</w:t>
            </w:r>
          </w:p>
        </w:tc>
        <w:tc>
          <w:tcPr>
            <w:tcW w:type="dxa" w:w="5516"/>
          </w:tcPr>
          <w:p>
            <w:pPr>
              <w:spacing w:after="0"/>
            </w:pPr>
            <w:r>
              <w:rPr>
                <w:b w:val="0"/>
                <w:sz w:val="19"/>
              </w:rPr>
              <w:t>Whether the PI or a Sub-I also signs consents obtained by other staff, and when</w:t>
            </w:r>
          </w:p>
        </w:tc>
        <w:tc>
          <w:tcPr>
            <w:tcW w:type="dxa" w:w="2206"/>
          </w:tcPr>
          <w:p>
            <w:pPr>
              <w:spacing w:after="0"/>
            </w:pPr>
          </w:p>
        </w:tc>
      </w:tr>
      <w:tr>
        <w:trPr>
          <w:cantSplit w:val="true"/>
          <w:trHeight w:val="432"/>
        </w:trPr>
        <w:tc>
          <w:tcPr>
            <w:tcW w:type="dxa" w:w="802"/>
          </w:tcPr>
          <w:p>
            <w:pPr>
              <w:spacing w:after="0"/>
            </w:pPr>
            <w:r>
              <w:rPr>
                <w:b w:val="0"/>
                <w:sz w:val="19"/>
              </w:rPr>
              <w:t>L-08</w:t>
            </w:r>
          </w:p>
        </w:tc>
        <w:tc>
          <w:tcPr>
            <w:tcW w:type="dxa" w:w="1122"/>
          </w:tcPr>
          <w:p>
            <w:pPr>
              <w:spacing w:after="0"/>
            </w:pPr>
            <w:r>
              <w:rPr>
                <w:b w:val="0"/>
                <w:sz w:val="19"/>
              </w:rPr>
              <w:t>SOP-06, 5.2</w:t>
            </w:r>
          </w:p>
        </w:tc>
        <w:tc>
          <w:tcPr>
            <w:tcW w:type="dxa" w:w="5516"/>
          </w:tcPr>
          <w:p>
            <w:pPr>
              <w:spacing w:after="0"/>
            </w:pPr>
            <w:r>
              <w:rPr>
                <w:b w:val="0"/>
                <w:sz w:val="19"/>
              </w:rPr>
              <w:t>For each storage location: continuous monitoring with alarm or min/max thermometer; after-hours alarm recipient; maximum alarm response time; closed-day plan for min/max locations</w:t>
            </w:r>
          </w:p>
        </w:tc>
        <w:tc>
          <w:tcPr>
            <w:tcW w:type="dxa" w:w="2206"/>
          </w:tcPr>
          <w:p>
            <w:pPr>
              <w:spacing w:after="0"/>
            </w:pPr>
          </w:p>
        </w:tc>
      </w:tr>
      <w:tr>
        <w:trPr>
          <w:cantSplit w:val="true"/>
          <w:trHeight w:val="432"/>
        </w:trPr>
        <w:tc>
          <w:tcPr>
            <w:tcW w:type="dxa" w:w="802"/>
          </w:tcPr>
          <w:p>
            <w:pPr>
              <w:spacing w:after="0"/>
            </w:pPr>
            <w:r>
              <w:rPr>
                <w:b w:val="0"/>
                <w:sz w:val="19"/>
              </w:rPr>
              <w:t>L-09</w:t>
            </w:r>
          </w:p>
        </w:tc>
        <w:tc>
          <w:tcPr>
            <w:tcW w:type="dxa" w:w="1122"/>
          </w:tcPr>
          <w:p>
            <w:pPr>
              <w:spacing w:after="0"/>
            </w:pPr>
            <w:r>
              <w:rPr>
                <w:b w:val="0"/>
                <w:sz w:val="19"/>
              </w:rPr>
              <w:t>SOP-07, 5.2</w:t>
            </w:r>
          </w:p>
        </w:tc>
        <w:tc>
          <w:tcPr>
            <w:tcW w:type="dxa" w:w="5516"/>
          </w:tcPr>
          <w:p>
            <w:pPr>
              <w:spacing w:after="0"/>
            </w:pPr>
            <w:r>
              <w:rPr>
                <w:b w:val="0"/>
                <w:sz w:val="19"/>
              </w:rPr>
              <w:t>EHR, study worksheets or a defined mix as primary source; EHR system name</w:t>
            </w:r>
          </w:p>
        </w:tc>
        <w:tc>
          <w:tcPr>
            <w:tcW w:type="dxa" w:w="2206"/>
          </w:tcPr>
          <w:p>
            <w:pPr>
              <w:spacing w:after="0"/>
            </w:pPr>
          </w:p>
        </w:tc>
      </w:tr>
      <w:tr>
        <w:trPr>
          <w:cantSplit w:val="true"/>
          <w:trHeight w:val="432"/>
        </w:trPr>
        <w:tc>
          <w:tcPr>
            <w:tcW w:type="dxa" w:w="802"/>
          </w:tcPr>
          <w:p>
            <w:pPr>
              <w:spacing w:after="0"/>
            </w:pPr>
            <w:r>
              <w:rPr>
                <w:b w:val="0"/>
                <w:sz w:val="19"/>
              </w:rPr>
              <w:t>L-10</w:t>
            </w:r>
          </w:p>
        </w:tc>
        <w:tc>
          <w:tcPr>
            <w:tcW w:type="dxa" w:w="1122"/>
          </w:tcPr>
          <w:p>
            <w:pPr>
              <w:spacing w:after="0"/>
            </w:pPr>
            <w:r>
              <w:rPr>
                <w:b w:val="0"/>
                <w:sz w:val="19"/>
              </w:rPr>
              <w:t>SOP-09, 5.1</w:t>
            </w:r>
          </w:p>
        </w:tc>
        <w:tc>
          <w:tcPr>
            <w:tcW w:type="dxa" w:w="5516"/>
          </w:tcPr>
          <w:p>
            <w:pPr>
              <w:spacing w:after="0"/>
            </w:pPr>
            <w:r>
              <w:rPr>
                <w:b w:val="0"/>
                <w:sz w:val="19"/>
              </w:rPr>
              <w:t>Which licensed roles may assess AEs, seriousness, causality and clinical significance (library default: physician PI or physician Sub-I only)</w:t>
            </w:r>
          </w:p>
        </w:tc>
        <w:tc>
          <w:tcPr>
            <w:tcW w:type="dxa" w:w="2206"/>
          </w:tcPr>
          <w:p>
            <w:pPr>
              <w:spacing w:after="0"/>
            </w:pPr>
          </w:p>
        </w:tc>
      </w:tr>
      <w:tr>
        <w:trPr>
          <w:cantSplit w:val="true"/>
          <w:trHeight w:val="432"/>
        </w:trPr>
        <w:tc>
          <w:tcPr>
            <w:tcW w:type="dxa" w:w="802"/>
          </w:tcPr>
          <w:p>
            <w:pPr>
              <w:spacing w:after="0"/>
            </w:pPr>
            <w:r>
              <w:rPr>
                <w:b w:val="0"/>
                <w:sz w:val="19"/>
              </w:rPr>
              <w:t>L-11</w:t>
            </w:r>
          </w:p>
        </w:tc>
        <w:tc>
          <w:tcPr>
            <w:tcW w:type="dxa" w:w="1122"/>
          </w:tcPr>
          <w:p>
            <w:pPr>
              <w:spacing w:after="0"/>
            </w:pPr>
            <w:r>
              <w:rPr>
                <w:b w:val="0"/>
                <w:sz w:val="19"/>
              </w:rPr>
              <w:t>SOP-10, 5.7</w:t>
            </w:r>
          </w:p>
        </w:tc>
        <w:tc>
          <w:tcPr>
            <w:tcW w:type="dxa" w:w="5516"/>
          </w:tcPr>
          <w:p>
            <w:pPr>
              <w:spacing w:after="0"/>
            </w:pPr>
            <w:r>
              <w:rPr>
                <w:b w:val="0"/>
                <w:sz w:val="19"/>
              </w:rPr>
              <w:t>Which participants are asked for Form W-9</w:t>
            </w:r>
          </w:p>
        </w:tc>
        <w:tc>
          <w:tcPr>
            <w:tcW w:type="dxa" w:w="2206"/>
          </w:tcPr>
          <w:p>
            <w:pPr>
              <w:spacing w:after="0"/>
            </w:pPr>
          </w:p>
        </w:tc>
      </w:tr>
      <w:tr>
        <w:trPr>
          <w:cantSplit w:val="true"/>
          <w:trHeight w:val="432"/>
        </w:trPr>
        <w:tc>
          <w:tcPr>
            <w:tcW w:type="dxa" w:w="802"/>
          </w:tcPr>
          <w:p>
            <w:pPr>
              <w:spacing w:after="0"/>
            </w:pPr>
            <w:r>
              <w:rPr>
                <w:b w:val="0"/>
                <w:sz w:val="19"/>
              </w:rPr>
              <w:t>L-12</w:t>
            </w:r>
          </w:p>
        </w:tc>
        <w:tc>
          <w:tcPr>
            <w:tcW w:type="dxa" w:w="1122"/>
          </w:tcPr>
          <w:p>
            <w:pPr>
              <w:spacing w:after="0"/>
            </w:pPr>
            <w:r>
              <w:rPr>
                <w:b w:val="0"/>
                <w:sz w:val="19"/>
              </w:rPr>
              <w:t>SOP-12, 5.1</w:t>
            </w:r>
          </w:p>
        </w:tc>
        <w:tc>
          <w:tcPr>
            <w:tcW w:type="dxa" w:w="5516"/>
          </w:tcPr>
          <w:p>
            <w:pPr>
              <w:spacing w:after="0"/>
            </w:pPr>
            <w:r>
              <w:rPr>
                <w:b w:val="0"/>
                <w:sz w:val="19"/>
              </w:rPr>
              <w:t>HIPAA status: covered entity, hybrid entity or not covered</w:t>
            </w:r>
          </w:p>
        </w:tc>
        <w:tc>
          <w:tcPr>
            <w:tcW w:type="dxa" w:w="2206"/>
          </w:tcPr>
          <w:p>
            <w:pPr>
              <w:spacing w:after="0"/>
            </w:pPr>
          </w:p>
        </w:tc>
      </w:tr>
      <w:tr>
        <w:trPr>
          <w:cantSplit w:val="true"/>
          <w:trHeight w:val="432"/>
        </w:trPr>
        <w:tc>
          <w:tcPr>
            <w:tcW w:type="dxa" w:w="802"/>
          </w:tcPr>
          <w:p>
            <w:pPr>
              <w:spacing w:after="0"/>
            </w:pPr>
            <w:r>
              <w:rPr>
                <w:b w:val="0"/>
                <w:sz w:val="19"/>
              </w:rPr>
              <w:t>L-13</w:t>
            </w:r>
          </w:p>
        </w:tc>
        <w:tc>
          <w:tcPr>
            <w:tcW w:type="dxa" w:w="1122"/>
          </w:tcPr>
          <w:p>
            <w:pPr>
              <w:spacing w:after="0"/>
            </w:pPr>
            <w:r>
              <w:rPr>
                <w:b w:val="0"/>
                <w:sz w:val="19"/>
              </w:rPr>
              <w:t>SOP-13, 5.1</w:t>
            </w:r>
          </w:p>
        </w:tc>
        <w:tc>
          <w:tcPr>
            <w:tcW w:type="dxa" w:w="5516"/>
          </w:tcPr>
          <w:p>
            <w:pPr>
              <w:spacing w:after="0"/>
            </w:pPr>
            <w:r>
              <w:rPr>
                <w:b w:val="0"/>
                <w:sz w:val="19"/>
              </w:rPr>
              <w:t>How monitors may review EHR source (methods, account expiry) and who approves exceptions</w:t>
            </w:r>
          </w:p>
        </w:tc>
        <w:tc>
          <w:tcPr>
            <w:tcW w:type="dxa" w:w="2206"/>
          </w:tcPr>
          <w:p>
            <w:pPr>
              <w:spacing w:after="0"/>
            </w:pPr>
          </w:p>
        </w:tc>
      </w:tr>
      <w:tr>
        <w:trPr>
          <w:cantSplit w:val="true"/>
          <w:trHeight w:val="432"/>
        </w:trPr>
        <w:tc>
          <w:tcPr>
            <w:tcW w:type="dxa" w:w="802"/>
          </w:tcPr>
          <w:p>
            <w:pPr>
              <w:spacing w:after="0"/>
            </w:pPr>
            <w:r>
              <w:rPr>
                <w:b w:val="0"/>
                <w:sz w:val="19"/>
              </w:rPr>
              <w:t>L-14</w:t>
            </w:r>
          </w:p>
        </w:tc>
        <w:tc>
          <w:tcPr>
            <w:tcW w:type="dxa" w:w="1122"/>
          </w:tcPr>
          <w:p>
            <w:pPr>
              <w:spacing w:after="0"/>
            </w:pPr>
            <w:r>
              <w:rPr>
                <w:b w:val="0"/>
                <w:sz w:val="19"/>
              </w:rPr>
              <w:t>SOP-14, 5.4</w:t>
            </w:r>
          </w:p>
        </w:tc>
        <w:tc>
          <w:tcPr>
            <w:tcW w:type="dxa" w:w="5516"/>
          </w:tcPr>
          <w:p>
            <w:pPr>
              <w:spacing w:after="0"/>
            </w:pPr>
            <w:r>
              <w:rPr>
                <w:b w:val="0"/>
                <w:sz w:val="19"/>
              </w:rPr>
              <w:t>Who performs QC and the internal audit, and the budget line for any external cost</w:t>
            </w:r>
          </w:p>
        </w:tc>
        <w:tc>
          <w:tcPr>
            <w:tcW w:type="dxa" w:w="2206"/>
          </w:tcPr>
          <w:p>
            <w:pPr>
              <w:spacing w:after="0"/>
            </w:pPr>
          </w:p>
        </w:tc>
      </w:tr>
      <w:tr>
        <w:trPr>
          <w:cantSplit w:val="true"/>
          <w:trHeight w:val="432"/>
        </w:trPr>
        <w:tc>
          <w:tcPr>
            <w:tcW w:type="dxa" w:w="802"/>
          </w:tcPr>
          <w:p>
            <w:pPr>
              <w:spacing w:after="0"/>
            </w:pPr>
            <w:r>
              <w:rPr>
                <w:b w:val="0"/>
                <w:sz w:val="19"/>
              </w:rPr>
              <w:t>L-15</w:t>
            </w:r>
          </w:p>
        </w:tc>
        <w:tc>
          <w:tcPr>
            <w:tcW w:type="dxa" w:w="1122"/>
          </w:tcPr>
          <w:p>
            <w:pPr>
              <w:spacing w:after="0"/>
            </w:pPr>
            <w:r>
              <w:rPr>
                <w:b w:val="0"/>
                <w:sz w:val="19"/>
              </w:rPr>
              <w:t>SOP-16, 5.4</w:t>
            </w:r>
          </w:p>
        </w:tc>
        <w:tc>
          <w:tcPr>
            <w:tcW w:type="dxa" w:w="5516"/>
          </w:tcPr>
          <w:p>
            <w:pPr>
              <w:spacing w:after="0"/>
            </w:pPr>
            <w:r>
              <w:rPr>
                <w:b w:val="0"/>
                <w:sz w:val="19"/>
              </w:rPr>
              <w:t>Recovery time objective for each site-controlled system holding source, and the IT agreement that states it</w:t>
            </w:r>
          </w:p>
        </w:tc>
        <w:tc>
          <w:tcPr>
            <w:tcW w:type="dxa" w:w="2206"/>
          </w:tcPr>
          <w:p>
            <w:pPr>
              <w:spacing w:after="0"/>
            </w:pPr>
          </w:p>
        </w:tc>
      </w:tr>
      <w:tr>
        <w:trPr>
          <w:cantSplit w:val="true"/>
          <w:trHeight w:val="432"/>
        </w:trPr>
        <w:tc>
          <w:tcPr>
            <w:tcW w:type="dxa" w:w="802"/>
          </w:tcPr>
          <w:p>
            <w:pPr>
              <w:spacing w:after="0"/>
            </w:pPr>
            <w:r>
              <w:rPr>
                <w:b w:val="0"/>
                <w:sz w:val="19"/>
              </w:rPr>
              <w:t>L-16</w:t>
            </w:r>
          </w:p>
        </w:tc>
        <w:tc>
          <w:tcPr>
            <w:tcW w:type="dxa" w:w="1122"/>
          </w:tcPr>
          <w:p>
            <w:pPr>
              <w:spacing w:after="0"/>
            </w:pPr>
            <w:r>
              <w:rPr>
                <w:b w:val="0"/>
                <w:sz w:val="19"/>
              </w:rPr>
              <w:t>SOP-M2, 5.5</w:t>
            </w:r>
          </w:p>
        </w:tc>
        <w:tc>
          <w:tcPr>
            <w:tcW w:type="dxa" w:w="5516"/>
          </w:tcPr>
          <w:p>
            <w:pPr>
              <w:spacing w:after="0"/>
            </w:pPr>
            <w:r>
              <w:rPr>
                <w:b w:val="0"/>
                <w:sz w:val="19"/>
              </w:rPr>
              <w:t>Owner of the contract playbook and the limits within which terms close without escalation</w:t>
            </w:r>
          </w:p>
        </w:tc>
        <w:tc>
          <w:tcPr>
            <w:tcW w:type="dxa" w:w="2206"/>
          </w:tcPr>
          <w:p>
            <w:pPr>
              <w:spacing w:after="0"/>
            </w:pPr>
          </w:p>
        </w:tc>
      </w:tr>
      <w:tr>
        <w:trPr>
          <w:cantSplit w:val="true"/>
          <w:trHeight w:val="432"/>
        </w:trPr>
        <w:tc>
          <w:tcPr>
            <w:tcW w:type="dxa" w:w="802"/>
          </w:tcPr>
          <w:p>
            <w:pPr>
              <w:spacing w:after="0"/>
            </w:pPr>
            <w:r>
              <w:rPr>
                <w:b w:val="0"/>
                <w:sz w:val="19"/>
              </w:rPr>
              <w:t>L-17</w:t>
            </w:r>
          </w:p>
        </w:tc>
        <w:tc>
          <w:tcPr>
            <w:tcW w:type="dxa" w:w="1122"/>
          </w:tcPr>
          <w:p>
            <w:pPr>
              <w:spacing w:after="0"/>
            </w:pPr>
            <w:r>
              <w:rPr>
                <w:b w:val="0"/>
                <w:sz w:val="19"/>
              </w:rPr>
              <w:t>SOP-M2, 5.9</w:t>
            </w:r>
          </w:p>
        </w:tc>
        <w:tc>
          <w:tcPr>
            <w:tcW w:type="dxa" w:w="5516"/>
          </w:tcPr>
          <w:p>
            <w:pPr>
              <w:spacing w:after="0"/>
            </w:pPr>
            <w:r>
              <w:rPr>
                <w:b w:val="0"/>
                <w:sz w:val="19"/>
              </w:rPr>
              <w:t>Whether the site bills any insurer or participant for study items; coverage analysis in house or by a vendor</w:t>
            </w:r>
          </w:p>
        </w:tc>
        <w:tc>
          <w:tcPr>
            <w:tcW w:type="dxa" w:w="2206"/>
          </w:tcPr>
          <w:p>
            <w:pPr>
              <w:spacing w:after="0"/>
            </w:pPr>
          </w:p>
        </w:tc>
      </w:tr>
      <w:tr>
        <w:trPr>
          <w:cantSplit w:val="true"/>
          <w:trHeight w:val="432"/>
        </w:trPr>
        <w:tc>
          <w:tcPr>
            <w:tcW w:type="dxa" w:w="802"/>
          </w:tcPr>
          <w:p>
            <w:pPr>
              <w:spacing w:after="0"/>
            </w:pPr>
            <w:r>
              <w:rPr>
                <w:b w:val="0"/>
                <w:sz w:val="19"/>
              </w:rPr>
              <w:t>L-18</w:t>
            </w:r>
          </w:p>
        </w:tc>
        <w:tc>
          <w:tcPr>
            <w:tcW w:type="dxa" w:w="1122"/>
          </w:tcPr>
          <w:p>
            <w:pPr>
              <w:spacing w:after="0"/>
            </w:pPr>
            <w:r>
              <w:rPr>
                <w:b w:val="0"/>
                <w:sz w:val="19"/>
              </w:rPr>
              <w:t>SOP-M3, 5.4</w:t>
            </w:r>
          </w:p>
        </w:tc>
        <w:tc>
          <w:tcPr>
            <w:tcW w:type="dxa" w:w="5516"/>
          </w:tcPr>
          <w:p>
            <w:pPr>
              <w:spacing w:after="0"/>
            </w:pPr>
            <w:r>
              <w:rPr>
                <w:b w:val="0"/>
                <w:sz w:val="19"/>
              </w:rPr>
              <w:t>Basis of the research volunteer database (IRB-approved protocol or site policy) and the language used to add people</w:t>
            </w:r>
          </w:p>
        </w:tc>
        <w:tc>
          <w:tcPr>
            <w:tcW w:type="dxa" w:w="2206"/>
          </w:tcPr>
          <w:p>
            <w:pPr>
              <w:spacing w:after="0"/>
            </w:pPr>
          </w:p>
        </w:tc>
      </w:tr>
      <w:tr>
        <w:trPr>
          <w:cantSplit w:val="true"/>
          <w:trHeight w:val="432"/>
        </w:trPr>
        <w:tc>
          <w:tcPr>
            <w:tcW w:type="dxa" w:w="802"/>
          </w:tcPr>
          <w:p>
            <w:pPr>
              <w:spacing w:after="0"/>
            </w:pPr>
            <w:r>
              <w:rPr>
                <w:b w:val="0"/>
                <w:sz w:val="19"/>
              </w:rPr>
              <w:t>L-19</w:t>
            </w:r>
          </w:p>
        </w:tc>
        <w:tc>
          <w:tcPr>
            <w:tcW w:type="dxa" w:w="1122"/>
          </w:tcPr>
          <w:p>
            <w:pPr>
              <w:spacing w:after="0"/>
            </w:pPr>
            <w:r>
              <w:rPr>
                <w:b w:val="0"/>
                <w:sz w:val="19"/>
              </w:rPr>
              <w:t>SOP-M4, 5.4</w:t>
            </w:r>
          </w:p>
        </w:tc>
        <w:tc>
          <w:tcPr>
            <w:tcW w:type="dxa" w:w="5516"/>
          </w:tcPr>
          <w:p>
            <w:pPr>
              <w:spacing w:after="0"/>
            </w:pPr>
            <w:r>
              <w:rPr>
                <w:b w:val="0"/>
                <w:sz w:val="19"/>
              </w:rPr>
              <w:t>States where investigators and staff are licensed, and the rule for participants located in other states</w:t>
            </w:r>
          </w:p>
        </w:tc>
        <w:tc>
          <w:tcPr>
            <w:tcW w:type="dxa" w:w="2206"/>
          </w:tcPr>
          <w:p>
            <w:pPr>
              <w:spacing w:after="0"/>
            </w:pPr>
          </w:p>
        </w:tc>
      </w:tr>
      <w:tr>
        <w:trPr>
          <w:cantSplit w:val="true"/>
          <w:trHeight w:val="432"/>
        </w:trPr>
        <w:tc>
          <w:tcPr>
            <w:tcW w:type="dxa" w:w="802"/>
          </w:tcPr>
          <w:p>
            <w:pPr>
              <w:spacing w:after="0"/>
            </w:pPr>
            <w:r>
              <w:rPr>
                <w:b w:val="0"/>
                <w:sz w:val="19"/>
              </w:rPr>
              <w:t>L-20</w:t>
            </w:r>
          </w:p>
        </w:tc>
        <w:tc>
          <w:tcPr>
            <w:tcW w:type="dxa" w:w="1122"/>
          </w:tcPr>
          <w:p>
            <w:pPr>
              <w:spacing w:after="0"/>
            </w:pPr>
            <w:r>
              <w:rPr>
                <w:b w:val="0"/>
                <w:sz w:val="19"/>
              </w:rPr>
              <w:t>SOP-M5, 5.2</w:t>
            </w:r>
          </w:p>
        </w:tc>
        <w:tc>
          <w:tcPr>
            <w:tcW w:type="dxa" w:w="5516"/>
          </w:tcPr>
          <w:p>
            <w:pPr>
              <w:spacing w:after="0"/>
            </w:pPr>
            <w:r>
              <w:rPr>
                <w:b w:val="0"/>
                <w:sz w:val="19"/>
              </w:rPr>
              <w:t>The anonymous reporting route, reaching the independent reviewer directly</w:t>
            </w:r>
          </w:p>
        </w:tc>
        <w:tc>
          <w:tcPr>
            <w:tcW w:type="dxa" w:w="2206"/>
          </w:tcPr>
          <w:p>
            <w:pPr>
              <w:spacing w:after="0"/>
            </w:pPr>
          </w:p>
        </w:tc>
      </w:tr>
    </w:tbl>
    <w:p>
      <w:pPr>
        <w:spacing w:after="40"/>
      </w:pPr>
    </w:p>
    <w:p>
      <w:pPr/>
      <w:r>
        <w:rPr>
          <w:b w:val="0"/>
        </w:rPr>
        <w:t>L-10 and SOP-02, 5.5.2 work together: a nurse practitioner or physician assistant Sub-I assesses AEs only if L-10 allows it.</w:t>
      </w:r>
    </w:p>
    <w:p>
      <w:pPr>
        <w:pStyle w:val="Heading2"/>
      </w:pPr>
      <w:r>
        <w:t>Step 4. Confirm the [DEFAULT] values</w:t>
      </w:r>
    </w:p>
    <w:p>
      <w:pPr/>
      <w:r>
        <w:rPr>
          <w:b w:val="0"/>
        </w:rPr>
        <w:t xml:space="preserve">A </w:t>
      </w:r>
      <w:r>
        <w:rPr>
          <w:b w:val="0"/>
          <w:highlight w:val="green"/>
        </w:rPr>
        <w:t>[DEFAULT]</w:t>
      </w:r>
      <w:r>
        <w:rPr>
          <w:b w:val="0"/>
        </w:rPr>
        <w:t xml:space="preserve"> tag marks a value the library chose because no regulation sets it (for example a number of business days or a sample size). The core SOPs hold 125 tags and the modules 25; the forms repeat 81 of these values (68 on core forms, 13 on module forms). Search the SOPs and the forms for "[DEFAULT:" and, for each tag, either accept the value or replace it with the site's value. In both cases remove the tag, so the approved text reads as a plain commitment.</w:t>
      </w:r>
    </w:p>
    <w:p>
      <w:pPr/>
      <w:r>
        <w:rPr>
          <w:b w:val="0"/>
        </w:rPr>
        <w:t>Keep forms and SOPs equal. Where a form repeats a value (a review time, a sample size, a deadline column), the form value must be the same as the SOP value. Change both together, and record the change on F-100-01 with the SOP.</w:t>
      </w:r>
    </w:p>
    <w:p>
      <w:pPr/>
      <w:r>
        <w:rPr>
          <w:b w:val="0"/>
        </w:rPr>
        <w:t>Before changing a recurring check, read the quality calendar in SOP-14, 5.1. Every recurring check in this library is listed there: Part A holds the periodic checks and Part B the checks repeated at each monitoring visit, consent, invoice, restock or other recurring event, each with its owner, record and home SOP. A site that wants a different cadence changes the calendar row and the home SOP together, and a site that adds a new recurring check adds it to the calendar first. These twelve defaults have the most effect on workload and inspection risk:</w:t>
      </w:r>
    </w:p>
    <w:tbl>
      <w:tblPr>
        <w:tblStyle w:val="TableGrid"/>
        <w:tblW w:type="auto" w:w="0"/>
        <w:jc w:val="left"/>
        <w:tblLayout w:type="fixed"/>
        <w:tblLook w:firstColumn="1" w:firstRow="1" w:lastColumn="0" w:lastRow="0" w:noHBand="0" w:noVBand="1" w:val="04A0"/>
      </w:tblPr>
      <w:tblGrid>
        <w:gridCol w:w="2109"/>
        <w:gridCol w:w="1095"/>
        <w:gridCol w:w="4185"/>
        <w:gridCol w:w="2257"/>
      </w:tblGrid>
      <w:tr>
        <w:trPr>
          <w:tblHeader w:val="true"/>
        </w:trPr>
        <w:tc>
          <w:tcPr>
            <w:tcW w:type="dxa" w:w="2109"/>
            <w:shd w:val="clear" w:color="auto" w:fill="D9E2F3"/>
          </w:tcPr>
          <w:p>
            <w:pPr>
              <w:spacing w:after="0"/>
            </w:pPr>
            <w:r>
              <w:rPr>
                <w:b/>
                <w:sz w:val="19"/>
              </w:rPr>
              <w:t>Default</w:t>
            </w:r>
          </w:p>
        </w:tc>
        <w:tc>
          <w:tcPr>
            <w:tcW w:type="dxa" w:w="1095"/>
            <w:shd w:val="clear" w:color="auto" w:fill="D9E2F3"/>
          </w:tcPr>
          <w:p>
            <w:pPr>
              <w:spacing w:after="0"/>
            </w:pPr>
            <w:r>
              <w:rPr>
                <w:b/>
                <w:sz w:val="19"/>
              </w:rPr>
              <w:t>Where set</w:t>
            </w:r>
          </w:p>
        </w:tc>
        <w:tc>
          <w:tcPr>
            <w:tcW w:type="dxa" w:w="4185"/>
            <w:shd w:val="clear" w:color="auto" w:fill="D9E2F3"/>
          </w:tcPr>
          <w:p>
            <w:pPr>
              <w:spacing w:after="0"/>
            </w:pPr>
            <w:r>
              <w:rPr>
                <w:b/>
                <w:sz w:val="19"/>
              </w:rPr>
              <w:t>Library value</w:t>
            </w:r>
          </w:p>
        </w:tc>
        <w:tc>
          <w:tcPr>
            <w:tcW w:type="dxa" w:w="2257"/>
            <w:shd w:val="clear" w:color="auto" w:fill="D9E2F3"/>
          </w:tcPr>
          <w:p>
            <w:pPr>
              <w:spacing w:after="0"/>
            </w:pPr>
            <w:r>
              <w:rPr>
                <w:b/>
                <w:sz w:val="19"/>
              </w:rPr>
              <w:t>SOP-14 calendar row</w:t>
            </w:r>
          </w:p>
        </w:tc>
      </w:tr>
      <w:tr>
        <w:trPr>
          <w:cantSplit w:val="true"/>
        </w:trPr>
        <w:tc>
          <w:tcPr>
            <w:tcW w:type="dxa" w:w="2109"/>
          </w:tcPr>
          <w:p>
            <w:pPr>
              <w:spacing w:after="0"/>
            </w:pPr>
            <w:r>
              <w:rPr>
                <w:b w:val="0"/>
                <w:sz w:val="19"/>
              </w:rPr>
              <w:t>Consent second-person QC timing</w:t>
            </w:r>
          </w:p>
        </w:tc>
        <w:tc>
          <w:tcPr>
            <w:tcW w:type="dxa" w:w="1095"/>
          </w:tcPr>
          <w:p>
            <w:pPr>
              <w:spacing w:after="0"/>
            </w:pPr>
            <w:r>
              <w:rPr>
                <w:b w:val="0"/>
                <w:sz w:val="19"/>
              </w:rPr>
              <w:t>SOP-14, 5.3.1 to 5.3.3</w:t>
            </w:r>
          </w:p>
        </w:tc>
        <w:tc>
          <w:tcPr>
            <w:tcW w:type="dxa" w:w="4185"/>
          </w:tcPr>
          <w:p>
            <w:pPr>
              <w:spacing w:after="0"/>
            </w:pPr>
            <w:r>
              <w:rPr>
                <w:b w:val="0"/>
                <w:sz w:val="19"/>
              </w:rPr>
              <w:t>First 3 consents by each consenter in each study and first 3 of each re-consent wave, completed before randomization or first dose where that comes first; then 1 in 5; each within 1 business day of signature; any error resets that consenter to every consent for the next 3</w:t>
            </w:r>
          </w:p>
        </w:tc>
        <w:tc>
          <w:tcPr>
            <w:tcW w:type="dxa" w:w="2257"/>
          </w:tcPr>
          <w:p>
            <w:pPr>
              <w:spacing w:after="0"/>
            </w:pPr>
            <w:r>
              <w:rPr>
                <w:b w:val="0"/>
                <w:sz w:val="19"/>
              </w:rPr>
              <w:t>Consent second-person QC</w:t>
            </w:r>
          </w:p>
        </w:tc>
      </w:tr>
      <w:tr>
        <w:trPr>
          <w:cantSplit w:val="true"/>
        </w:trPr>
        <w:tc>
          <w:tcPr>
            <w:tcW w:type="dxa" w:w="2109"/>
          </w:tcPr>
          <w:p>
            <w:pPr>
              <w:spacing w:after="0"/>
            </w:pPr>
            <w:r>
              <w:rPr>
                <w:b w:val="0"/>
                <w:sz w:val="19"/>
              </w:rPr>
              <w:t>Consent QC when no reviewer is available</w:t>
            </w:r>
          </w:p>
        </w:tc>
        <w:tc>
          <w:tcPr>
            <w:tcW w:type="dxa" w:w="1095"/>
          </w:tcPr>
          <w:p>
            <w:pPr>
              <w:spacing w:after="0"/>
            </w:pPr>
            <w:r>
              <w:rPr>
                <w:b w:val="0"/>
                <w:sz w:val="19"/>
              </w:rPr>
              <w:t>SOP-14, 5.4.2</w:t>
            </w:r>
          </w:p>
        </w:tc>
        <w:tc>
          <w:tcPr>
            <w:tcW w:type="dxa" w:w="4185"/>
          </w:tcPr>
          <w:p>
            <w:pPr>
              <w:spacing w:after="0"/>
            </w:pPr>
            <w:r>
              <w:rPr>
                <w:b w:val="0"/>
                <w:sz w:val="19"/>
              </w:rPr>
              <w:t>Self-check next business day; independent reviewer within 10 business days</w:t>
            </w:r>
          </w:p>
        </w:tc>
        <w:tc>
          <w:tcPr>
            <w:tcW w:type="dxa" w:w="2257"/>
          </w:tcPr>
          <w:p>
            <w:pPr>
              <w:spacing w:after="0"/>
            </w:pPr>
            <w:r>
              <w:rPr>
                <w:b w:val="0"/>
                <w:sz w:val="19"/>
              </w:rPr>
              <w:t>Consent second-person QC</w:t>
            </w:r>
          </w:p>
        </w:tc>
      </w:tr>
      <w:tr>
        <w:trPr>
          <w:cantSplit w:val="true"/>
        </w:trPr>
        <w:tc>
          <w:tcPr>
            <w:tcW w:type="dxa" w:w="2109"/>
          </w:tcPr>
          <w:p>
            <w:pPr>
              <w:spacing w:after="0"/>
            </w:pPr>
            <w:r>
              <w:rPr>
                <w:b w:val="0"/>
                <w:sz w:val="19"/>
              </w:rPr>
              <w:t>PI oversight note</w:t>
            </w:r>
          </w:p>
        </w:tc>
        <w:tc>
          <w:tcPr>
            <w:tcW w:type="dxa" w:w="1095"/>
          </w:tcPr>
          <w:p>
            <w:pPr>
              <w:spacing w:after="0"/>
            </w:pPr>
            <w:r>
              <w:rPr>
                <w:b w:val="0"/>
                <w:sz w:val="19"/>
              </w:rPr>
              <w:t>SOP-02, 5.6.3</w:t>
            </w:r>
          </w:p>
        </w:tc>
        <w:tc>
          <w:tcPr>
            <w:tcW w:type="dxa" w:w="4185"/>
          </w:tcPr>
          <w:p>
            <w:pPr>
              <w:spacing w:after="0"/>
            </w:pPr>
            <w:r>
              <w:rPr>
                <w:b w:val="0"/>
                <w:sz w:val="19"/>
              </w:rPr>
              <w:t>Quarterly and at each monitoring visit</w:t>
            </w:r>
          </w:p>
        </w:tc>
        <w:tc>
          <w:tcPr>
            <w:tcW w:type="dxa" w:w="2257"/>
          </w:tcPr>
          <w:p>
            <w:pPr>
              <w:spacing w:after="0"/>
            </w:pPr>
            <w:r>
              <w:rPr>
                <w:b w:val="0"/>
                <w:sz w:val="19"/>
              </w:rPr>
              <w:t>PI oversight record</w:t>
            </w:r>
          </w:p>
        </w:tc>
      </w:tr>
      <w:tr>
        <w:trPr>
          <w:cantSplit w:val="true"/>
        </w:trPr>
        <w:tc>
          <w:tcPr>
            <w:tcW w:type="dxa" w:w="2109"/>
          </w:tcPr>
          <w:p>
            <w:pPr>
              <w:spacing w:after="0"/>
            </w:pPr>
            <w:r>
              <w:rPr>
                <w:b w:val="0"/>
                <w:sz w:val="19"/>
              </w:rPr>
              <w:t>Temperature monitoring method</w:t>
            </w:r>
          </w:p>
        </w:tc>
        <w:tc>
          <w:tcPr>
            <w:tcW w:type="dxa" w:w="1095"/>
          </w:tcPr>
          <w:p>
            <w:pPr>
              <w:spacing w:after="0"/>
            </w:pPr>
            <w:r>
              <w:rPr>
                <w:b w:val="0"/>
                <w:sz w:val="19"/>
              </w:rPr>
              <w:t>SOP-06, 5.2.1</w:t>
            </w:r>
          </w:p>
        </w:tc>
        <w:tc>
          <w:tcPr>
            <w:tcW w:type="dxa" w:w="4185"/>
          </w:tcPr>
          <w:p>
            <w:pPr>
              <w:spacing w:after="0"/>
            </w:pPr>
            <w:r>
              <w:rPr>
                <w:b w:val="0"/>
                <w:sz w:val="19"/>
              </w:rPr>
              <w:t>Continuous monitoring system with alarm</w:t>
            </w:r>
          </w:p>
        </w:tc>
        <w:tc>
          <w:tcPr>
            <w:tcW w:type="dxa" w:w="2257"/>
          </w:tcPr>
          <w:p>
            <w:pPr>
              <w:spacing w:after="0"/>
            </w:pPr>
            <w:r>
              <w:rPr>
                <w:b w:val="0"/>
                <w:sz w:val="19"/>
              </w:rPr>
              <w:t>Temperature</w:t>
            </w:r>
          </w:p>
        </w:tc>
      </w:tr>
      <w:tr>
        <w:trPr>
          <w:cantSplit w:val="true"/>
        </w:trPr>
        <w:tc>
          <w:tcPr>
            <w:tcW w:type="dxa" w:w="2109"/>
          </w:tcPr>
          <w:p>
            <w:pPr>
              <w:spacing w:after="0"/>
            </w:pPr>
            <w:r>
              <w:rPr>
                <w:b w:val="0"/>
                <w:sz w:val="19"/>
              </w:rPr>
              <w:t>Quarterly review compiled</w:t>
            </w:r>
          </w:p>
        </w:tc>
        <w:tc>
          <w:tcPr>
            <w:tcW w:type="dxa" w:w="1095"/>
          </w:tcPr>
          <w:p>
            <w:pPr>
              <w:spacing w:after="0"/>
            </w:pPr>
            <w:r>
              <w:rPr>
                <w:b w:val="0"/>
                <w:sz w:val="19"/>
              </w:rPr>
              <w:t>SOP-14, 5.6.1</w:t>
            </w:r>
          </w:p>
        </w:tc>
        <w:tc>
          <w:tcPr>
            <w:tcW w:type="dxa" w:w="4185"/>
          </w:tcPr>
          <w:p>
            <w:pPr>
              <w:spacing w:after="0"/>
            </w:pPr>
            <w:r>
              <w:rPr>
                <w:b w:val="0"/>
                <w:sz w:val="19"/>
              </w:rPr>
              <w:t>Within 15 business days after quarter end</w:t>
            </w:r>
          </w:p>
        </w:tc>
        <w:tc>
          <w:tcPr>
            <w:tcW w:type="dxa" w:w="2257"/>
          </w:tcPr>
          <w:p>
            <w:pPr>
              <w:spacing w:after="0"/>
            </w:pPr>
            <w:r>
              <w:rPr>
                <w:b w:val="0"/>
                <w:sz w:val="19"/>
              </w:rPr>
              <w:t>Log and metric review</w:t>
            </w:r>
          </w:p>
        </w:tc>
      </w:tr>
      <w:tr>
        <w:trPr>
          <w:cantSplit w:val="true"/>
        </w:trPr>
        <w:tc>
          <w:tcPr>
            <w:tcW w:type="dxa" w:w="2109"/>
          </w:tcPr>
          <w:p>
            <w:pPr>
              <w:spacing w:after="0"/>
            </w:pPr>
            <w:r>
              <w:rPr>
                <w:b w:val="0"/>
                <w:sz w:val="19"/>
              </w:rPr>
              <w:t>Repeat-problem CAPA trigger</w:t>
            </w:r>
          </w:p>
        </w:tc>
        <w:tc>
          <w:tcPr>
            <w:tcW w:type="dxa" w:w="1095"/>
          </w:tcPr>
          <w:p>
            <w:pPr>
              <w:spacing w:after="0"/>
            </w:pPr>
            <w:r>
              <w:rPr>
                <w:b w:val="0"/>
                <w:sz w:val="19"/>
              </w:rPr>
              <w:t>SOP-08, 5.6.2</w:t>
            </w:r>
          </w:p>
        </w:tc>
        <w:tc>
          <w:tcPr>
            <w:tcW w:type="dxa" w:w="4185"/>
          </w:tcPr>
          <w:p>
            <w:pPr>
              <w:spacing w:after="0"/>
            </w:pPr>
            <w:r>
              <w:rPr>
                <w:b w:val="0"/>
                <w:sz w:val="19"/>
              </w:rPr>
              <w:t>Same minor problem 3 or more times in a rolling 6 months</w:t>
            </w:r>
          </w:p>
        </w:tc>
        <w:tc>
          <w:tcPr>
            <w:tcW w:type="dxa" w:w="2257"/>
          </w:tcPr>
          <w:p>
            <w:pPr>
              <w:spacing w:after="0"/>
            </w:pPr>
            <w:r>
              <w:rPr>
                <w:b w:val="0"/>
                <w:sz w:val="19"/>
              </w:rPr>
              <w:t>Log and metric review</w:t>
            </w:r>
          </w:p>
        </w:tc>
      </w:tr>
      <w:tr>
        <w:trPr>
          <w:cantSplit w:val="true"/>
        </w:trPr>
        <w:tc>
          <w:tcPr>
            <w:tcW w:type="dxa" w:w="2109"/>
          </w:tcPr>
          <w:p>
            <w:pPr>
              <w:spacing w:after="0"/>
            </w:pPr>
            <w:r>
              <w:rPr>
                <w:b w:val="0"/>
                <w:sz w:val="19"/>
              </w:rPr>
              <w:t>CAPA effectiveness period</w:t>
            </w:r>
          </w:p>
        </w:tc>
        <w:tc>
          <w:tcPr>
            <w:tcW w:type="dxa" w:w="1095"/>
          </w:tcPr>
          <w:p>
            <w:pPr>
              <w:spacing w:after="0"/>
            </w:pPr>
            <w:r>
              <w:rPr>
                <w:b w:val="0"/>
                <w:sz w:val="19"/>
              </w:rPr>
              <w:t>SOP-08, 5.9.2</w:t>
            </w:r>
          </w:p>
        </w:tc>
        <w:tc>
          <w:tcPr>
            <w:tcW w:type="dxa" w:w="4185"/>
          </w:tcPr>
          <w:p>
            <w:pPr>
              <w:spacing w:after="0"/>
            </w:pPr>
            <w:r>
              <w:rPr>
                <w:b w:val="0"/>
                <w:sz w:val="19"/>
              </w:rPr>
              <w:t>Later of 3 months or next 10 occurrences; rare activities: next 3 or 12 months</w:t>
            </w:r>
          </w:p>
        </w:tc>
        <w:tc>
          <w:tcPr>
            <w:tcW w:type="dxa" w:w="2257"/>
          </w:tcPr>
          <w:p>
            <w:pPr>
              <w:spacing w:after="0"/>
            </w:pPr>
            <w:r>
              <w:rPr>
                <w:b w:val="0"/>
                <w:sz w:val="19"/>
              </w:rPr>
              <w:t>CAPA effectiveness check</w:t>
            </w:r>
          </w:p>
        </w:tc>
      </w:tr>
      <w:tr>
        <w:trPr>
          <w:cantSplit w:val="true"/>
        </w:trPr>
        <w:tc>
          <w:tcPr>
            <w:tcW w:type="dxa" w:w="2109"/>
          </w:tcPr>
          <w:p>
            <w:pPr>
              <w:spacing w:after="0"/>
            </w:pPr>
            <w:r>
              <w:rPr>
                <w:b w:val="0"/>
                <w:sz w:val="19"/>
              </w:rPr>
              <w:t>SOP periodic review</w:t>
            </w:r>
          </w:p>
        </w:tc>
        <w:tc>
          <w:tcPr>
            <w:tcW w:type="dxa" w:w="1095"/>
          </w:tcPr>
          <w:p>
            <w:pPr>
              <w:spacing w:after="0"/>
            </w:pPr>
            <w:r>
              <w:rPr>
                <w:b w:val="0"/>
                <w:sz w:val="19"/>
              </w:rPr>
              <w:t>SOP-01, 5.5.1</w:t>
            </w:r>
          </w:p>
        </w:tc>
        <w:tc>
          <w:tcPr>
            <w:tcW w:type="dxa" w:w="4185"/>
          </w:tcPr>
          <w:p>
            <w:pPr>
              <w:spacing w:after="0"/>
            </w:pPr>
            <w:r>
              <w:rPr>
                <w:b w:val="0"/>
                <w:sz w:val="19"/>
              </w:rPr>
              <w:t>Every 2 years</w:t>
            </w:r>
          </w:p>
        </w:tc>
        <w:tc>
          <w:tcPr>
            <w:tcW w:type="dxa" w:w="2257"/>
          </w:tcPr>
          <w:p>
            <w:pPr>
              <w:spacing w:after="0"/>
            </w:pPr>
            <w:r>
              <w:rPr>
                <w:b w:val="0"/>
                <w:sz w:val="19"/>
              </w:rPr>
              <w:t>SOP periodic review</w:t>
            </w:r>
          </w:p>
        </w:tc>
      </w:tr>
      <w:tr>
        <w:trPr>
          <w:cantSplit w:val="true"/>
        </w:trPr>
        <w:tc>
          <w:tcPr>
            <w:tcW w:type="dxa" w:w="2109"/>
          </w:tcPr>
          <w:p>
            <w:pPr>
              <w:spacing w:after="0"/>
            </w:pPr>
            <w:r>
              <w:rPr>
                <w:b w:val="0"/>
                <w:sz w:val="19"/>
              </w:rPr>
              <w:t>GCP refresher</w:t>
            </w:r>
          </w:p>
        </w:tc>
        <w:tc>
          <w:tcPr>
            <w:tcW w:type="dxa" w:w="1095"/>
          </w:tcPr>
          <w:p>
            <w:pPr>
              <w:spacing w:after="0"/>
            </w:pPr>
            <w:r>
              <w:rPr>
                <w:b w:val="0"/>
                <w:sz w:val="19"/>
              </w:rPr>
              <w:t>SOP-01, 5.9.2</w:t>
            </w:r>
          </w:p>
        </w:tc>
        <w:tc>
          <w:tcPr>
            <w:tcW w:type="dxa" w:w="4185"/>
          </w:tcPr>
          <w:p>
            <w:pPr>
              <w:spacing w:after="0"/>
            </w:pPr>
            <w:r>
              <w:rPr>
                <w:b w:val="0"/>
                <w:sz w:val="19"/>
              </w:rPr>
              <w:t>Every 3 years (also used for human subjects protection when no frequency is set)</w:t>
            </w:r>
          </w:p>
        </w:tc>
        <w:tc>
          <w:tcPr>
            <w:tcW w:type="dxa" w:w="2257"/>
          </w:tcPr>
          <w:p>
            <w:pPr>
              <w:spacing w:after="0"/>
            </w:pPr>
            <w:r>
              <w:rPr>
                <w:b w:val="0"/>
                <w:sz w:val="19"/>
              </w:rPr>
              <w:t>GCP refresher</w:t>
            </w:r>
          </w:p>
        </w:tc>
      </w:tr>
      <w:tr>
        <w:trPr>
          <w:cantSplit w:val="true"/>
        </w:trPr>
        <w:tc>
          <w:tcPr>
            <w:tcW w:type="dxa" w:w="2109"/>
          </w:tcPr>
          <w:p>
            <w:pPr>
              <w:spacing w:after="0"/>
            </w:pPr>
            <w:r>
              <w:rPr>
                <w:b w:val="0"/>
                <w:sz w:val="19"/>
              </w:rPr>
              <w:t>Debarment and exclusion screen</w:t>
            </w:r>
          </w:p>
        </w:tc>
        <w:tc>
          <w:tcPr>
            <w:tcW w:type="dxa" w:w="1095"/>
          </w:tcPr>
          <w:p>
            <w:pPr>
              <w:spacing w:after="0"/>
            </w:pPr>
            <w:r>
              <w:rPr>
                <w:b w:val="0"/>
                <w:sz w:val="19"/>
              </w:rPr>
              <w:t>SOP-01, 5.8.3</w:t>
            </w:r>
          </w:p>
        </w:tc>
        <w:tc>
          <w:tcPr>
            <w:tcW w:type="dxa" w:w="4185"/>
          </w:tcPr>
          <w:p>
            <w:pPr>
              <w:spacing w:after="0"/>
            </w:pPr>
            <w:r>
              <w:rPr>
                <w:b w:val="0"/>
                <w:sz w:val="19"/>
              </w:rPr>
              <w:t>At hire and annually</w:t>
            </w:r>
          </w:p>
        </w:tc>
        <w:tc>
          <w:tcPr>
            <w:tcW w:type="dxa" w:w="2257"/>
          </w:tcPr>
          <w:p>
            <w:pPr>
              <w:spacing w:after="0"/>
            </w:pPr>
            <w:r>
              <w:rPr>
                <w:b w:val="0"/>
                <w:sz w:val="19"/>
              </w:rPr>
              <w:t>Debarment/exclusion screen</w:t>
            </w:r>
          </w:p>
        </w:tc>
      </w:tr>
      <w:tr>
        <w:trPr>
          <w:cantSplit w:val="true"/>
        </w:trPr>
        <w:tc>
          <w:tcPr>
            <w:tcW w:type="dxa" w:w="2109"/>
          </w:tcPr>
          <w:p>
            <w:pPr>
              <w:spacing w:after="0"/>
            </w:pPr>
            <w:r>
              <w:rPr>
                <w:b w:val="0"/>
                <w:sz w:val="19"/>
              </w:rPr>
              <w:t>Calibration and maintenance</w:t>
            </w:r>
          </w:p>
        </w:tc>
        <w:tc>
          <w:tcPr>
            <w:tcW w:type="dxa" w:w="1095"/>
          </w:tcPr>
          <w:p>
            <w:pPr>
              <w:spacing w:after="0"/>
            </w:pPr>
            <w:r>
              <w:rPr>
                <w:b w:val="0"/>
                <w:sz w:val="19"/>
              </w:rPr>
              <w:t>SOP-11, 5.7.3</w:t>
            </w:r>
          </w:p>
        </w:tc>
        <w:tc>
          <w:tcPr>
            <w:tcW w:type="dxa" w:w="4185"/>
          </w:tcPr>
          <w:p>
            <w:pPr>
              <w:spacing w:after="0"/>
            </w:pPr>
            <w:r>
              <w:rPr>
                <w:b w:val="0"/>
                <w:sz w:val="19"/>
              </w:rPr>
              <w:t>Annually unless protocol or manufacturer says otherwise</w:t>
            </w:r>
          </w:p>
        </w:tc>
        <w:tc>
          <w:tcPr>
            <w:tcW w:type="dxa" w:w="2257"/>
          </w:tcPr>
          <w:p>
            <w:pPr>
              <w:spacing w:after="0"/>
            </w:pPr>
            <w:r>
              <w:rPr>
                <w:b w:val="0"/>
                <w:sz w:val="19"/>
              </w:rPr>
              <w:t>Equipment calibration and preventive maintenance</w:t>
            </w:r>
          </w:p>
        </w:tc>
      </w:tr>
      <w:tr>
        <w:trPr>
          <w:cantSplit w:val="true"/>
        </w:trPr>
        <w:tc>
          <w:tcPr>
            <w:tcW w:type="dxa" w:w="2109"/>
          </w:tcPr>
          <w:p>
            <w:pPr>
              <w:spacing w:after="0"/>
            </w:pPr>
            <w:r>
              <w:rPr>
                <w:b w:val="0"/>
                <w:sz w:val="19"/>
              </w:rPr>
              <w:t>IRB reporting window when the IRB policy is silent</w:t>
            </w:r>
          </w:p>
        </w:tc>
        <w:tc>
          <w:tcPr>
            <w:tcW w:type="dxa" w:w="1095"/>
          </w:tcPr>
          <w:p>
            <w:pPr>
              <w:spacing w:after="0"/>
            </w:pPr>
            <w:r>
              <w:rPr>
                <w:b w:val="0"/>
                <w:sz w:val="19"/>
              </w:rPr>
              <w:t>SOP-09, 5.1.2</w:t>
            </w:r>
          </w:p>
        </w:tc>
        <w:tc>
          <w:tcPr>
            <w:tcW w:type="dxa" w:w="4185"/>
          </w:tcPr>
          <w:p>
            <w:pPr>
              <w:spacing w:after="0"/>
            </w:pPr>
            <w:r>
              <w:rPr>
                <w:b w:val="0"/>
                <w:sz w:val="19"/>
              </w:rPr>
              <w:t>5 calendar days of awareness</w:t>
            </w:r>
          </w:p>
        </w:tc>
        <w:tc>
          <w:tcPr>
            <w:tcW w:type="dxa" w:w="2257"/>
          </w:tcPr>
          <w:p>
            <w:pPr>
              <w:spacing w:after="0"/>
            </w:pPr>
            <w:r>
              <w:rPr>
                <w:b w:val="0"/>
                <w:sz w:val="19"/>
              </w:rPr>
              <w:t>None (event-driven)</w:t>
            </w:r>
          </w:p>
        </w:tc>
      </w:tr>
    </w:tbl>
    <w:p>
      <w:pPr>
        <w:spacing w:after="40"/>
      </w:pPr>
    </w:p>
    <w:p>
      <w:pPr>
        <w:pStyle w:val="Heading2"/>
      </w:pPr>
      <w:r>
        <w:t>Step 5. Complete Appendix A</w:t>
      </w:r>
    </w:p>
    <w:p>
      <w:pPr/>
      <w:r>
        <w:rPr>
          <w:b w:val="0"/>
        </w:rPr>
        <w:t>Complete one Appendix A worksheet for each state where the site has a location and each state where participants are seen remotely or receive home visits. Do it with counsel, and confirm the research answers (LAR authority, age of majority, state consent documents) with the IRB of record. Give a copy to everyone who obtains consent. The SOPs point to Appendix A wherever state law decides the answer, so the SOPs are not complete until it is.</w:t>
      </w:r>
    </w:p>
    <w:p>
      <w:pPr>
        <w:pStyle w:val="Heading2"/>
      </w:pPr>
      <w:r>
        <w:t>Step 6. Align with the IRB and key sponsors</w:t>
      </w:r>
    </w:p>
    <w:p>
      <w:pPr/>
      <w:r>
        <w:rPr>
          <w:b w:val="0"/>
        </w:rPr>
        <w:t>The Regulatory Coordinator completes the F-502-01 IRB page for the IRB of record (SOP-09, 5.1.2): reportable-event categories, windows exactly as the IRB states them, and submission route. F-205-01 then confirms that page and records what the IRB requires for personnel and location changes, deviations, continuing review and closure (SOP-03, 5.1.3). Check the consent, eConsent and remote consent methods the site intends to use against IRB policy (L-06, L-07).</w:t>
      </w:r>
    </w:p>
    <w:p>
      <w:pPr/>
      <w:r>
        <w:rPr>
          <w:b w:val="0"/>
        </w:rPr>
        <w:t>For the two or three sponsors the site works with most, compare their usual requirements with the site's choices: SAE timelines and backup methods, monitor access to the EHR (L-13), eligibility and consent documentation, and internal audit report sharing (SOP-14, 5.7.7). The protocol, sponsor or IRB requirement wins where it is stricter (SOP-01, section 2), so differences are handled study by study, not by editing the SOPs.</w:t>
      </w:r>
    </w:p>
    <w:p>
      <w:pPr>
        <w:pStyle w:val="Heading2"/>
      </w:pPr>
      <w:r>
        <w:t>Step 7. Approve under SOP-01</w:t>
      </w:r>
    </w:p>
    <w:p>
      <w:pPr/>
      <w:r>
        <w:rPr>
          <w:b w:val="0"/>
        </w:rPr>
        <w:t>Approve each SOP on F-100-01 (SOP-01, 5.3.4): the author (for adoption, the Quality Lead who configured it), the Quality Lead, the Site Director, and the clinical approver (library default: the lead PI) for SOPs that affect investigator duties, safety, consent, IP or data integrity. Approve the forms with their parent SOP.</w:t>
      </w:r>
    </w:p>
    <w:p>
      <w:pPr/>
      <w:r>
        <w:rPr>
          <w:b w:val="0"/>
        </w:rPr>
        <w:t>No one is the only approver of an SOP they wrote (SOP-01, 5.3.5). At a small site the author, Quality Lead and Site Director are often one person; a second person then approves. Under SOP-01, 5.3.5 as written that is the PI, and it is the independent reviewer when the same person is also the PI. A site that wants the independent reviewer to approve whenever the author, Quality Lead and Site Director are one person, even where a separate PI exists, changes SOP-01, 5.3.5 to say so before approval.</w:t>
      </w:r>
    </w:p>
    <w:p>
      <w:pPr/>
      <w:r>
        <w:rPr>
          <w:b w:val="0"/>
        </w:rPr>
        <w:t>Record on F-100-03 the modules adopted and not adopted and the prior site SOPs each new SOP replaces (SOP-01, 5.7.1). Version numbering starts at 1.0.</w:t>
      </w:r>
    </w:p>
    <w:p>
      <w:pPr>
        <w:pStyle w:val="Heading2"/>
      </w:pPr>
      <w:r>
        <w:t>Step 8. Train by role</w:t>
      </w:r>
    </w:p>
    <w:p>
      <w:pPr/>
      <w:r>
        <w:rPr>
          <w:b w:val="0"/>
        </w:rPr>
        <w:t>Assign training on F-103-01 by the role matrix in Start Here. "Read and train" means the person reads the SOP and signs F-100-02 before the effective date; for SOP-04, SOP-06, SOP-08 and SOP-09 it also means a trainer-led session or a short knowledge check (SOP-01, 5.4.2). "Know where it is" means the person knows the SOP exists, what it covers and where to find it. Add each adopted module for the roles its row marks. Module roles outside the matrix read and train on their module: the Provider Owner (SOP-M1); the feasibility owner and billing staff or billing service (SOP-M2); the Recruitment Specialist and Privacy Officer (SOP-M3). Competency checks under SOP-01, 5.10 (for example observed consents) are separate from SOP training and are recorded on F-103-01.</w:t>
      </w:r>
    </w:p>
    <w:p>
      <w:pPr/>
      <w:r>
        <w:rPr>
          <w:b w:val="0"/>
        </w:rPr>
        <w:t>Training on the inspection conduct steps (SOP-13, 5.6) is part of every staff member's SOP training.</w:t>
      </w:r>
    </w:p>
    <w:p>
      <w:pPr>
        <w:pStyle w:val="Heading2"/>
      </w:pPr>
      <w:r>
        <w:t>Step 9. Set the effective date</w:t>
      </w:r>
    </w:p>
    <w:p>
      <w:pPr/>
      <w:r>
        <w:rPr>
          <w:b w:val="0"/>
        </w:rPr>
        <w:t xml:space="preserve">The Quality Lead sets the effective date at approval, at least 30 calendar days later for adoption unless the site changed that default (SOP-01, 5.4.1). Before that date, the Quality Lead checks training completion and either moves the date or restricts untrained staff from the tasks the SOP covers (SOP-01, 5.4.3). On the effective date, the Quality Lead publishes the SOPs in </w:t>
      </w:r>
      <w:r>
        <w:rPr>
          <w:b w:val="0"/>
          <w:highlight w:val="yellow"/>
        </w:rPr>
        <w:t>[SOP REPOSITORY LOCATION]</w:t>
      </w:r>
      <w:r>
        <w:rPr>
          <w:b w:val="0"/>
        </w:rPr>
        <w:t>, withdraws the site's prior SOPs from use and archives them marked "SUPERSEDED" (SOP-01, 5.5.3).</w:t>
      </w:r>
    </w:p>
    <w:p>
      <w:pPr/>
      <w:r>
        <w:rPr>
          <w:b w:val="0"/>
        </w:rPr>
        <w:t>In the first quarter, the Quality Lead sets up the year's quality calendar in the quality file from SOP-14, 5.1 Part A, writes a study QC plan for each active study (SOP-14, 5.2) and schedules the first quarterly review. Studies already running move to the new SOPs on the effective date unless a protocol or sponsor requirement says otherwise; record any exception on F-306-01.</w:t>
      </w:r>
    </w:p>
    <w:p>
      <w:pPr>
        <w:pStyle w:val="Heading1"/>
      </w:pPr>
      <w:r>
        <w:t>5. Keeping it current</w:t>
      </w:r>
    </w:p>
    <w:p>
      <w:pPr/>
      <w:r>
        <w:rPr>
          <w:b/>
        </w:rPr>
        <w:t>Periodic review.</w:t>
      </w:r>
      <w:r>
        <w:rPr>
          <w:b w:val="0"/>
        </w:rPr>
        <w:t xml:space="preserve"> The Quality Lead reviews each SOP at least every 2 years (or the site's chosen period) and sooner after a regulatory change, a significant finding, a CAPA, a new type of study or system, or recurring SOP deviations (SOP-01, 5.5). Due dates are on F-100-03. Changes go through SOP-01, with training before the new version takes effect.</w:t>
      </w:r>
    </w:p>
    <w:p>
      <w:pPr/>
      <w:r>
        <w:rPr>
          <w:b/>
        </w:rPr>
        <w:t>Regulatory Currency Note.</w:t>
      </w:r>
      <w:r>
        <w:rPr>
          <w:b w:val="0"/>
        </w:rPr>
        <w:t xml:space="preserve"> The note lists items whose status may change (for example FDA adoption of ICH E6(R3) Annex 2 and the proposed single IRB and key information rules). Re-check it as an input to the annual management review (SOP-14, 5.8.2, regulatory changes), and at once when one of its items changes status. Review Appendix A at the same meeting. This keeps both reviews on an existing calendar date instead of adding new recurring checks. Record each check on F-100-01 and open SOP revisions where an item has changed.</w:t>
      </w:r>
    </w:p>
    <w:p>
      <w:pPr/>
      <w:r>
        <w:rPr>
          <w:b/>
        </w:rPr>
        <w:t>Library updates.</w:t>
      </w:r>
      <w:r>
        <w:rPr>
          <w:b w:val="0"/>
        </w:rPr>
        <w:t xml:space="preserve"> AIMR posts later releases and their release notes at aimronline.org/sops, which is also where to send feedback. A later release does not change the site's adopted SOPs. The Quality Lead compares the release notes with the site's text and adopts changes through SOP-01 like any other revision.</w:t>
      </w:r>
    </w:p>
    <w:p>
      <w:pPr>
        <w:pStyle w:val="Heading1"/>
      </w:pPr>
      <w:r>
        <w:t>6. What is excluded</w:t>
      </w:r>
    </w:p>
    <w:p>
      <w:pPr/>
      <w:r>
        <w:rPr>
          <w:b w:val="0"/>
        </w:rPr>
        <w:t>The Lean Edition is written for the work of a single independent investigator site. Sites that do the following work need separate procedures.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Not covered</w:t>
            </w:r>
          </w:p>
        </w:tc>
        <w:tc>
          <w:tcPr>
            <w:tcW w:type="dxa" w:w="6946"/>
            <w:shd w:val="clear" w:color="auto" w:fill="D9E2F3"/>
          </w:tcPr>
          <w:p>
            <w:pPr>
              <w:spacing w:after="0"/>
            </w:pPr>
            <w:r>
              <w:rPr>
                <w:b/>
                <w:sz w:val="19"/>
              </w:rPr>
              <w:t>Pointer</w:t>
            </w:r>
          </w:p>
        </w:tc>
      </w:tr>
      <w:tr>
        <w:trPr>
          <w:cantSplit w:val="true"/>
        </w:trPr>
        <w:tc>
          <w:tcPr>
            <w:tcW w:type="dxa" w:w="2701"/>
          </w:tcPr>
          <w:p>
            <w:pPr>
              <w:spacing w:after="0"/>
            </w:pPr>
            <w:r>
              <w:rPr>
                <w:b w:val="0"/>
                <w:sz w:val="19"/>
              </w:rPr>
              <w:t>Phase 1 units</w:t>
            </w:r>
          </w:p>
        </w:tc>
        <w:tc>
          <w:tcPr>
            <w:tcW w:type="dxa" w:w="6946"/>
          </w:tcPr>
          <w:p>
            <w:pPr>
              <w:spacing w:after="0"/>
            </w:pPr>
            <w:r>
              <w:rPr>
                <w:b w:val="0"/>
                <w:sz w:val="19"/>
              </w:rPr>
              <w:t>First-in-human dosing, confinement and dose-escalation emergency response need dedicated procedures.</w:t>
            </w:r>
          </w:p>
        </w:tc>
      </w:tr>
      <w:tr>
        <w:trPr>
          <w:cantSplit w:val="true"/>
        </w:trPr>
        <w:tc>
          <w:tcPr>
            <w:tcW w:type="dxa" w:w="2701"/>
          </w:tcPr>
          <w:p>
            <w:pPr>
              <w:spacing w:after="0"/>
            </w:pPr>
            <w:r>
              <w:rPr>
                <w:b w:val="0"/>
                <w:sz w:val="19"/>
              </w:rPr>
              <w:t>Oncology and radiation specifics</w:t>
            </w:r>
          </w:p>
        </w:tc>
        <w:tc>
          <w:tcPr>
            <w:tcW w:type="dxa" w:w="6946"/>
          </w:tcPr>
          <w:p>
            <w:pPr>
              <w:spacing w:after="0"/>
            </w:pPr>
            <w:r>
              <w:rPr>
                <w:b w:val="0"/>
                <w:sz w:val="19"/>
              </w:rPr>
              <w:t>Tumor response assessment, radiation safety and radioactive IP licensing are not covered.</w:t>
            </w:r>
          </w:p>
        </w:tc>
      </w:tr>
      <w:tr>
        <w:trPr>
          <w:cantSplit w:val="true"/>
        </w:trPr>
        <w:tc>
          <w:tcPr>
            <w:tcW w:type="dxa" w:w="2701"/>
          </w:tcPr>
          <w:p>
            <w:pPr>
              <w:spacing w:after="0"/>
            </w:pPr>
            <w:r>
              <w:rPr>
                <w:b w:val="0"/>
                <w:sz w:val="19"/>
              </w:rPr>
              <w:t>Gene therapy and Institutional Biosafety Committee review</w:t>
            </w:r>
          </w:p>
        </w:tc>
        <w:tc>
          <w:tcPr>
            <w:tcW w:type="dxa" w:w="6946"/>
          </w:tcPr>
          <w:p>
            <w:pPr>
              <w:spacing w:after="0"/>
            </w:pPr>
            <w:r>
              <w:rPr>
                <w:b w:val="0"/>
                <w:sz w:val="19"/>
              </w:rPr>
              <w:t>NIH Guidelines oversight is not covered.</w:t>
            </w:r>
          </w:p>
        </w:tc>
      </w:tr>
      <w:tr>
        <w:trPr>
          <w:cantSplit w:val="true"/>
        </w:trPr>
        <w:tc>
          <w:tcPr>
            <w:tcW w:type="dxa" w:w="2701"/>
          </w:tcPr>
          <w:p>
            <w:pPr>
              <w:spacing w:after="0"/>
            </w:pPr>
            <w:r>
              <w:rPr>
                <w:b w:val="0"/>
                <w:sz w:val="19"/>
              </w:rPr>
              <w:t>Pharmacy compounding and sterile preparation</w:t>
            </w:r>
          </w:p>
        </w:tc>
        <w:tc>
          <w:tcPr>
            <w:tcW w:type="dxa" w:w="6946"/>
          </w:tcPr>
          <w:p>
            <w:pPr>
              <w:spacing w:after="0"/>
            </w:pPr>
            <w:r>
              <w:rPr>
                <w:b w:val="0"/>
                <w:sz w:val="19"/>
              </w:rPr>
              <w:t>SOP-06 covers storage, dispensing and accountability only.</w:t>
            </w:r>
          </w:p>
        </w:tc>
      </w:tr>
      <w:tr>
        <w:trPr>
          <w:cantSplit w:val="true"/>
        </w:trPr>
        <w:tc>
          <w:tcPr>
            <w:tcW w:type="dxa" w:w="2701"/>
          </w:tcPr>
          <w:p>
            <w:pPr>
              <w:spacing w:after="0"/>
            </w:pPr>
            <w:r>
              <w:rPr>
                <w:b w:val="0"/>
                <w:sz w:val="19"/>
              </w:rPr>
              <w:t>Non-US trials</w:t>
            </w:r>
          </w:p>
        </w:tc>
        <w:tc>
          <w:tcPr>
            <w:tcW w:type="dxa" w:w="6946"/>
          </w:tcPr>
          <w:p>
            <w:pPr>
              <w:spacing w:after="0"/>
            </w:pPr>
            <w:r>
              <w:rPr>
                <w:b w:val="0"/>
                <w:sz w:val="19"/>
              </w:rPr>
              <w:t>The library cites US law.</w:t>
            </w:r>
          </w:p>
        </w:tc>
      </w:tr>
      <w:tr>
        <w:trPr>
          <w:cantSplit w:val="true"/>
        </w:trPr>
        <w:tc>
          <w:tcPr>
            <w:tcW w:type="dxa" w:w="2701"/>
          </w:tcPr>
          <w:p>
            <w:pPr>
              <w:spacing w:after="0"/>
            </w:pPr>
            <w:r>
              <w:rPr>
                <w:b w:val="0"/>
                <w:sz w:val="19"/>
              </w:rPr>
              <w:t>Sponsor and CRO operations</w:t>
            </w:r>
          </w:p>
        </w:tc>
        <w:tc>
          <w:tcPr>
            <w:tcW w:type="dxa" w:w="6946"/>
          </w:tcPr>
          <w:p>
            <w:pPr>
              <w:spacing w:after="0"/>
            </w:pPr>
            <w:r>
              <w:rPr>
                <w:b w:val="0"/>
                <w:sz w:val="19"/>
              </w:rPr>
              <w:t>Only SOP-M6, for a site acting as sponsor-investigator.</w:t>
            </w:r>
          </w:p>
        </w:tc>
      </w:tr>
      <w:tr>
        <w:trPr>
          <w:cantSplit w:val="true"/>
        </w:trPr>
        <w:tc>
          <w:tcPr>
            <w:tcW w:type="dxa" w:w="2701"/>
          </w:tcPr>
          <w:p>
            <w:pPr>
              <w:spacing w:after="0"/>
            </w:pPr>
            <w:r>
              <w:rPr>
                <w:b w:val="0"/>
                <w:sz w:val="19"/>
              </w:rPr>
              <w:t>Running an IRB</w:t>
            </w:r>
          </w:p>
        </w:tc>
        <w:tc>
          <w:tcPr>
            <w:tcW w:type="dxa" w:w="6946"/>
          </w:tcPr>
          <w:p>
            <w:pPr>
              <w:spacing w:after="0"/>
            </w:pPr>
            <w:r>
              <w:rPr>
                <w:b w:val="0"/>
                <w:sz w:val="19"/>
              </w:rPr>
              <w:t>The library assumes an external IRB.</w:t>
            </w:r>
          </w:p>
        </w:tc>
      </w:tr>
      <w:tr>
        <w:trPr>
          <w:cantSplit w:val="true"/>
        </w:trPr>
        <w:tc>
          <w:tcPr>
            <w:tcW w:type="dxa" w:w="2701"/>
          </w:tcPr>
          <w:p>
            <w:pPr>
              <w:spacing w:after="0"/>
            </w:pPr>
            <w:r>
              <w:rPr>
                <w:b w:val="0"/>
                <w:sz w:val="19"/>
              </w:rPr>
              <w:t>Network operations</w:t>
            </w:r>
          </w:p>
        </w:tc>
        <w:tc>
          <w:tcPr>
            <w:tcW w:type="dxa" w:w="6946"/>
          </w:tcPr>
          <w:p>
            <w:pPr>
              <w:spacing w:after="0"/>
            </w:pPr>
            <w:r>
              <w:rPr>
                <w:b w:val="0"/>
                <w:sz w:val="19"/>
              </w:rPr>
              <w:t>Use the Network Edition.</w:t>
            </w:r>
          </w:p>
        </w:tc>
      </w:tr>
      <w:tr>
        <w:trPr>
          <w:cantSplit w:val="true"/>
        </w:trPr>
        <w:tc>
          <w:tcPr>
            <w:tcW w:type="dxa" w:w="2701"/>
          </w:tcPr>
          <w:p>
            <w:pPr>
              <w:spacing w:after="0"/>
            </w:pPr>
            <w:r>
              <w:rPr>
                <w:b w:val="0"/>
                <w:sz w:val="19"/>
              </w:rPr>
              <w:t>Federally funded research details</w:t>
            </w:r>
          </w:p>
        </w:tc>
        <w:tc>
          <w:tcPr>
            <w:tcW w:type="dxa" w:w="6946"/>
          </w:tcPr>
          <w:p>
            <w:pPr>
              <w:spacing w:after="0"/>
            </w:pPr>
            <w:r>
              <w:rPr>
                <w:b w:val="0"/>
                <w:sz w:val="19"/>
              </w:rPr>
              <w:t>The library notes where the Common Rule applies but is written for FDA-regulated industry trials.</w:t>
            </w:r>
          </w:p>
        </w:tc>
      </w:tr>
      <w:tr>
        <w:trPr>
          <w:cantSplit w:val="true"/>
        </w:trPr>
        <w:tc>
          <w:tcPr>
            <w:tcW w:type="dxa" w:w="2701"/>
          </w:tcPr>
          <w:p>
            <w:pPr>
              <w:spacing w:after="0"/>
            </w:pPr>
            <w:r>
              <w:rPr>
                <w:b w:val="0"/>
                <w:sz w:val="19"/>
              </w:rPr>
              <w:t>Employment law, clinical care billing and general practice compliance</w:t>
            </w:r>
          </w:p>
        </w:tc>
        <w:tc>
          <w:tcPr>
            <w:tcW w:type="dxa" w:w="6946"/>
          </w:tcPr>
          <w:p>
            <w:pPr>
              <w:spacing w:after="0"/>
            </w:pPr>
            <w:r>
              <w:rPr>
                <w:b w:val="0"/>
                <w:sz w:val="19"/>
              </w:rPr>
              <w:t>Outside research SOPs. SOP-M2 covers claims for study participants only.</w:t>
            </w: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Lean Edition,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Adoption Guide (Lean Edition)</w:t>
          </w:r>
        </w:p>
      </w:tc>
      <w:tc>
        <w:tcPr>
          <w:tcW w:type="dxa" w:w="2894"/>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GUIDE-ADOPTION Adoption Guide (Lean Edition)</dc:title>
  <dc:subject>GUIDE</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