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Business Continuity Plan and Emergency Contacts</w:t>
      </w:r>
    </w:p>
    <w:p>
      <w:r>
        <w:rPr>
          <w:b/>
          <w:sz w:val="18"/>
        </w:rPr>
        <w:t xml:space="preserve">Purpose: </w:t>
      </w:r>
      <w:r>
        <w:rPr>
          <w:b w:val="0"/>
          <w:sz w:val="18"/>
        </w:rPr>
        <w:t>Records, for one location, the contact tree, study contacts, covering investigators and backups, storage and system arrangements for an outage or emergency, and each event and test.</w:t>
      </w:r>
    </w:p>
    <w:p>
      <w:pPr>
        <w:spacing w:after="0"/>
      </w:pPr>
      <w:r>
        <w:rPr>
          <w:b/>
          <w:sz w:val="18"/>
        </w:rPr>
        <w:t>Instructions</w:t>
      </w:r>
    </w:p>
    <w:p>
      <w:pPr>
        <w:pStyle w:val="ListBullet"/>
        <w:spacing w:after="0"/>
      </w:pPr>
      <w:r>
        <w:rPr>
          <w:b w:val="0"/>
          <w:sz w:val="18"/>
        </w:rPr>
        <w:t>The Site Director and Quality Lead complete one plan per location before the first study starts there. The Quality Lead reviews it at the annual test and after any continuity event, staff change, new storage unit, new key system or change of location (SOP-16 5.1.1).</w:t>
      </w:r>
    </w:p>
    <w:p>
      <w:pPr>
        <w:pStyle w:val="ListBullet"/>
        <w:spacing w:after="0"/>
      </w:pPr>
      <w:r>
        <w:rPr>
          <w:b w:val="0"/>
          <w:sz w:val="18"/>
        </w:rPr>
        <w:t xml:space="preserve">Keep a printed copy at </w:t>
      </w:r>
      <w:r>
        <w:rPr>
          <w:b w:val="0"/>
          <w:sz w:val="18"/>
          <w:highlight w:val="yellow"/>
        </w:rPr>
        <w:t>[F-705-01 PRINTED COPY LOCATION]</w:t>
      </w:r>
      <w:r>
        <w:rPr>
          <w:b w:val="0"/>
          <w:sz w:val="18"/>
        </w:rPr>
        <w:t xml:space="preserve"> and an electronic copy the Site Director, Quality Lead and PIs can reach off site. Do not write participant identifiers here; name the secure system where participant contacts are kept (SOP-16 5.1.3).</w:t>
      </w:r>
    </w:p>
    <w:p>
      <w:pPr>
        <w:pStyle w:val="ListBullet"/>
        <w:spacing w:after="0"/>
      </w:pPr>
      <w:r>
        <w:rPr>
          <w:b w:val="0"/>
          <w:sz w:val="18"/>
        </w:rPr>
        <w:t xml:space="preserve">In an event, protect people first, then IP and specimens, then records. Notify affected sponsors within </w:t>
      </w:r>
      <w:r>
        <w:rPr>
          <w:b w:val="0"/>
          <w:sz w:val="18"/>
          <w:highlight w:val="green"/>
        </w:rPr>
        <w:t>[DEFAULT: 1 business day]</w:t>
      </w:r>
      <w:r>
        <w:rPr>
          <w:b w:val="0"/>
          <w:sz w:val="18"/>
        </w:rPr>
        <w:t xml:space="preserve"> and IRBs as they require. Record the event in Part 3; deviations go on F-308-01 (SOP-16 5.2.4, 5.2.5).</w:t>
      </w:r>
    </w:p>
    <w:p>
      <w:pPr>
        <w:pStyle w:val="ListBullet"/>
        <w:spacing w:after="0"/>
      </w:pPr>
      <w:r>
        <w:rPr>
          <w:b w:val="0"/>
          <w:sz w:val="18"/>
        </w:rPr>
        <w:t xml:space="preserve">Run one tabletop test a year. Over each </w:t>
      </w:r>
      <w:r>
        <w:rPr>
          <w:b w:val="0"/>
          <w:sz w:val="18"/>
          <w:highlight w:val="green"/>
        </w:rPr>
        <w:t>[DEFAULT: 2-year]</w:t>
      </w:r>
      <w:r>
        <w:rPr>
          <w:b w:val="0"/>
          <w:sz w:val="18"/>
        </w:rPr>
        <w:t xml:space="preserve"> cycle, cover a storage unit failure with move to backup storage, an IT outage using downtime forms, and PI unavailability; each test also checks the contact tree, cooler and logger supplies and sponsor approvals of backup storage (SOP-16 5.9).</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Site name</w:t>
            </w:r>
          </w:p>
        </w:tc>
        <w:tc>
          <w:tcPr>
            <w:tcW w:type="dxa" w:w="2447"/>
          </w:tcPr>
          <w:p/>
        </w:tc>
        <w:tc>
          <w:tcPr>
            <w:tcW w:type="dxa" w:w="2160"/>
            <w:shd w:val="clear" w:color="auto" w:fill="D9E2F3"/>
          </w:tcPr>
          <w:p>
            <w:pPr>
              <w:spacing w:after="0"/>
            </w:pPr>
            <w:r>
              <w:rPr>
                <w:b/>
                <w:sz w:val="17"/>
              </w:rPr>
              <w:t>Location address</w:t>
            </w:r>
          </w:p>
        </w:tc>
        <w:tc>
          <w:tcPr>
            <w:tcW w:type="dxa" w:w="2447"/>
          </w:tcPr>
          <w:p/>
        </w:tc>
        <w:tc>
          <w:tcPr>
            <w:tcW w:type="dxa" w:w="2160"/>
            <w:shd w:val="clear" w:color="auto" w:fill="D9E2F3"/>
          </w:tcPr>
          <w:p>
            <w:pPr>
              <w:spacing w:after="0"/>
            </w:pPr>
            <w:r>
              <w:rPr>
                <w:b/>
                <w:sz w:val="17"/>
              </w:rPr>
              <w:t>Plan version and date</w:t>
            </w:r>
          </w:p>
        </w:tc>
        <w:tc>
          <w:tcPr>
            <w:tcW w:type="dxa" w:w="2447"/>
          </w:tcPr>
          <w:p/>
        </w:tc>
      </w:tr>
    </w:tbl>
    <w:p>
      <w:pPr>
        <w:spacing w:after="0"/>
      </w:pPr>
    </w:p>
    <w:p>
      <w:pPr>
        <w:pStyle w:val="Heading2"/>
      </w:pPr>
      <w:r>
        <w:t>Part 1. Contact tree</w:t>
      </w:r>
    </w:p>
    <w:tbl>
      <w:tblPr>
        <w:tblStyle w:val="TableGrid"/>
        <w:tblW w:type="auto" w:w="0"/>
        <w:jc w:val="left"/>
        <w:tblLayout w:type="fixed"/>
        <w:tblLook w:firstColumn="1" w:firstRow="1" w:lastColumn="0" w:lastRow="0" w:noHBand="0" w:noVBand="1" w:val="04A0"/>
      </w:tblPr>
      <w:tblGrid>
        <w:gridCol w:w="1063"/>
        <w:gridCol w:w="4253"/>
        <w:gridCol w:w="2126"/>
        <w:gridCol w:w="2126"/>
        <w:gridCol w:w="2126"/>
        <w:gridCol w:w="2126"/>
      </w:tblGrid>
      <w:tr>
        <w:trPr>
          <w:tblHeader w:val="true"/>
        </w:trPr>
        <w:tc>
          <w:tcPr>
            <w:tcW w:type="dxa" w:w="1063"/>
            <w:shd w:val="clear" w:color="auto" w:fill="D9E2F3"/>
          </w:tcPr>
          <w:p>
            <w:pPr>
              <w:spacing w:after="0"/>
            </w:pPr>
            <w:r>
              <w:rPr>
                <w:b/>
                <w:sz w:val="17"/>
              </w:rPr>
              <w:t>Call order</w:t>
            </w:r>
          </w:p>
        </w:tc>
        <w:tc>
          <w:tcPr>
            <w:tcW w:type="dxa" w:w="4253"/>
            <w:shd w:val="clear" w:color="auto" w:fill="D9E2F3"/>
          </w:tcPr>
          <w:p>
            <w:pPr>
              <w:spacing w:after="0"/>
            </w:pPr>
            <w:r>
              <w:rPr>
                <w:b/>
                <w:sz w:val="17"/>
              </w:rPr>
              <w:t>Role or organization (staff, PIs, Sub-Is, IT support, building, alarm service, backup storage, courier, legal counsel, insurer)</w:t>
            </w:r>
          </w:p>
        </w:tc>
        <w:tc>
          <w:tcPr>
            <w:tcW w:type="dxa" w:w="2126"/>
            <w:shd w:val="clear" w:color="auto" w:fill="D9E2F3"/>
          </w:tcPr>
          <w:p>
            <w:pPr>
              <w:spacing w:after="0"/>
            </w:pPr>
            <w:r>
              <w:rPr>
                <w:b/>
                <w:sz w:val="17"/>
              </w:rPr>
              <w:t>Name</w:t>
            </w:r>
          </w:p>
        </w:tc>
        <w:tc>
          <w:tcPr>
            <w:tcW w:type="dxa" w:w="2126"/>
            <w:shd w:val="clear" w:color="auto" w:fill="D9E2F3"/>
          </w:tcPr>
          <w:p>
            <w:pPr>
              <w:spacing w:after="0"/>
            </w:pPr>
            <w:r>
              <w:rPr>
                <w:b/>
                <w:sz w:val="17"/>
              </w:rPr>
              <w:t>Mobile or business-hours phone</w:t>
            </w:r>
          </w:p>
        </w:tc>
        <w:tc>
          <w:tcPr>
            <w:tcW w:type="dxa" w:w="2126"/>
            <w:shd w:val="clear" w:color="auto" w:fill="D9E2F3"/>
          </w:tcPr>
          <w:p>
            <w:pPr>
              <w:spacing w:after="0"/>
            </w:pPr>
            <w:r>
              <w:rPr>
                <w:b/>
                <w:sz w:val="17"/>
              </w:rPr>
              <w:t>After-hours phone</w:t>
            </w:r>
          </w:p>
        </w:tc>
        <w:tc>
          <w:tcPr>
            <w:tcW w:type="dxa" w:w="2126"/>
            <w:shd w:val="clear" w:color="auto" w:fill="D9E2F3"/>
          </w:tcPr>
          <w:p>
            <w:pPr>
              <w:spacing w:after="0"/>
            </w:pPr>
            <w:r>
              <w:rPr>
                <w:b/>
                <w:sz w:val="17"/>
              </w:rPr>
              <w:t>Email</w:t>
            </w: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r>
        <w:trPr>
          <w:cantSplit w:val="true"/>
          <w:trHeight w:val="461"/>
        </w:trPr>
        <w:tc>
          <w:tcPr>
            <w:tcW w:type="dxa" w:w="1063"/>
          </w:tcPr>
          <w:p>
            <w:pPr>
              <w:spacing w:after="0"/>
            </w:pPr>
          </w:p>
        </w:tc>
        <w:tc>
          <w:tcPr>
            <w:tcW w:type="dxa" w:w="4253"/>
          </w:tcPr>
          <w:p>
            <w:pPr>
              <w:spacing w:after="0"/>
            </w:pPr>
          </w:p>
        </w:tc>
        <w:tc>
          <w:tcPr>
            <w:tcW w:type="dxa" w:w="2126"/>
          </w:tcPr>
          <w:p>
            <w:pPr>
              <w:spacing w:after="0"/>
            </w:pPr>
          </w:p>
        </w:tc>
        <w:tc>
          <w:tcPr>
            <w:tcW w:type="dxa" w:w="2126"/>
          </w:tcPr>
          <w:p>
            <w:pPr>
              <w:spacing w:after="0"/>
            </w:pPr>
          </w:p>
        </w:tc>
        <w:tc>
          <w:tcPr>
            <w:tcW w:type="dxa" w:w="2126"/>
          </w:tcPr>
          <w:p>
            <w:pPr>
              <w:spacing w:after="0"/>
            </w:pPr>
          </w:p>
        </w:tc>
        <w:tc>
          <w:tcPr>
            <w:tcW w:type="dxa" w:w="2126"/>
          </w:tcPr>
          <w:p>
            <w:pPr>
              <w:spacing w:after="0"/>
            </w:pPr>
          </w:p>
        </w:tc>
      </w:tr>
    </w:tbl>
    <w:p>
      <w:pPr>
        <w:spacing w:after="40"/>
      </w:pPr>
    </w:p>
    <w:p>
      <w:pPr>
        <w:pStyle w:val="Heading2"/>
      </w:pPr>
      <w:r>
        <w:t>Active studies</w:t>
      </w:r>
    </w:p>
    <w:tbl>
      <w:tblPr>
        <w:tblStyle w:val="TableGrid"/>
        <w:tblW w:type="auto" w:w="0"/>
        <w:jc w:val="left"/>
        <w:tblLayout w:type="fixed"/>
        <w:tblLook w:firstColumn="1" w:firstRow="1" w:lastColumn="0" w:lastRow="0" w:noHBand="0" w:noVBand="1" w:val="04A0"/>
      </w:tblPr>
      <w:tblGrid>
        <w:gridCol w:w="1152"/>
        <w:gridCol w:w="2304"/>
        <w:gridCol w:w="2304"/>
        <w:gridCol w:w="2304"/>
        <w:gridCol w:w="1152"/>
        <w:gridCol w:w="2304"/>
        <w:gridCol w:w="2304"/>
      </w:tblGrid>
      <w:tr>
        <w:trPr>
          <w:tblHeader w:val="true"/>
        </w:trPr>
        <w:tc>
          <w:tcPr>
            <w:tcW w:type="dxa" w:w="1152"/>
            <w:shd w:val="clear" w:color="auto" w:fill="D9E2F3"/>
          </w:tcPr>
          <w:p>
            <w:pPr>
              <w:spacing w:after="0"/>
            </w:pPr>
            <w:r>
              <w:rPr>
                <w:b/>
                <w:sz w:val="17"/>
              </w:rPr>
              <w:t>Protocol</w:t>
            </w:r>
          </w:p>
        </w:tc>
        <w:tc>
          <w:tcPr>
            <w:tcW w:type="dxa" w:w="2304"/>
            <w:shd w:val="clear" w:color="auto" w:fill="D9E2F3"/>
          </w:tcPr>
          <w:p>
            <w:pPr>
              <w:spacing w:after="0"/>
            </w:pPr>
            <w:r>
              <w:rPr>
                <w:b/>
                <w:sz w:val="17"/>
              </w:rPr>
              <w:t>Sponsor and CRO</w:t>
            </w:r>
          </w:p>
        </w:tc>
        <w:tc>
          <w:tcPr>
            <w:tcW w:type="dxa" w:w="2304"/>
            <w:shd w:val="clear" w:color="auto" w:fill="D9E2F3"/>
          </w:tcPr>
          <w:p>
            <w:pPr>
              <w:spacing w:after="0"/>
            </w:pPr>
            <w:r>
              <w:rPr>
                <w:b/>
                <w:sz w:val="17"/>
              </w:rPr>
              <w:t>Monitor contact</w:t>
            </w:r>
          </w:p>
        </w:tc>
        <w:tc>
          <w:tcPr>
            <w:tcW w:type="dxa" w:w="2304"/>
            <w:shd w:val="clear" w:color="auto" w:fill="D9E2F3"/>
          </w:tcPr>
          <w:p>
            <w:pPr>
              <w:spacing w:after="0"/>
            </w:pPr>
            <w:r>
              <w:rPr>
                <w:b/>
                <w:sz w:val="17"/>
              </w:rPr>
              <w:t>IRB contact</w:t>
            </w:r>
          </w:p>
        </w:tc>
        <w:tc>
          <w:tcPr>
            <w:tcW w:type="dxa" w:w="1152"/>
            <w:shd w:val="clear" w:color="auto" w:fill="D9E2F3"/>
          </w:tcPr>
          <w:p>
            <w:pPr>
              <w:spacing w:after="0"/>
            </w:pPr>
            <w:r>
              <w:rPr>
                <w:b/>
                <w:sz w:val="17"/>
              </w:rPr>
              <w:t>IxRS help desk</w:t>
            </w:r>
          </w:p>
        </w:tc>
        <w:tc>
          <w:tcPr>
            <w:tcW w:type="dxa" w:w="2304"/>
            <w:shd w:val="clear" w:color="auto" w:fill="D9E2F3"/>
          </w:tcPr>
          <w:p>
            <w:pPr>
              <w:spacing w:after="0"/>
            </w:pPr>
            <w:r>
              <w:rPr>
                <w:b/>
                <w:sz w:val="17"/>
              </w:rPr>
              <w:t>Emergency unblinding contact</w:t>
            </w:r>
          </w:p>
        </w:tc>
        <w:tc>
          <w:tcPr>
            <w:tcW w:type="dxa" w:w="2304"/>
            <w:shd w:val="clear" w:color="auto" w:fill="D9E2F3"/>
          </w:tcPr>
          <w:p>
            <w:pPr>
              <w:spacing w:after="0"/>
            </w:pPr>
            <w:r>
              <w:rPr>
                <w:b/>
                <w:sz w:val="17"/>
              </w:rPr>
              <w:t>Covering investigator (SOP-16 5.6.2)</w:t>
            </w: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r>
        <w:trPr>
          <w:cantSplit w:val="true"/>
          <w:trHeight w:val="461"/>
        </w:trPr>
        <w:tc>
          <w:tcPr>
            <w:tcW w:type="dxa" w:w="1152"/>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2304"/>
          </w:tcPr>
          <w:p>
            <w:pPr>
              <w:spacing w:after="0"/>
            </w:pPr>
          </w:p>
        </w:tc>
        <w:tc>
          <w:tcPr>
            <w:tcW w:type="dxa" w:w="2304"/>
          </w:tcPr>
          <w:p>
            <w:pPr>
              <w:spacing w:after="0"/>
            </w:pPr>
          </w:p>
        </w:tc>
      </w:tr>
    </w:tbl>
    <w:p>
      <w:pPr>
        <w:spacing w:after="40"/>
      </w:pPr>
    </w:p>
    <w:p>
      <w:pPr>
        <w:pStyle w:val="Heading2"/>
      </w:pPr>
      <w:r>
        <w:t>Key role backups (SOP-16 5.6.7)</w:t>
      </w:r>
    </w:p>
    <w:tbl>
      <w:tblPr>
        <w:tblStyle w:val="TableGrid"/>
        <w:tblW w:type="auto" w:w="0"/>
        <w:jc w:val="left"/>
        <w:tblLayout w:type="fixed"/>
        <w:tblLook w:firstColumn="1" w:firstRow="1" w:lastColumn="0" w:lastRow="0" w:noHBand="0" w:noVBand="1" w:val="04A0"/>
      </w:tblPr>
      <w:tblGrid>
        <w:gridCol w:w="5529"/>
        <w:gridCol w:w="2764"/>
        <w:gridCol w:w="2764"/>
        <w:gridCol w:w="2764"/>
      </w:tblGrid>
      <w:tr>
        <w:trPr>
          <w:tblHeader w:val="true"/>
        </w:trPr>
        <w:tc>
          <w:tcPr>
            <w:tcW w:type="dxa" w:w="5529"/>
            <w:shd w:val="clear" w:color="auto" w:fill="D9E2F3"/>
          </w:tcPr>
          <w:p>
            <w:pPr>
              <w:keepNext/>
              <w:spacing w:after="0"/>
            </w:pPr>
            <w:r>
              <w:rPr>
                <w:b/>
                <w:sz w:val="17"/>
              </w:rPr>
              <w:t>Key role (Regulatory Coordinator, IP Manager, Lead CRC per study, Quality Lead, Site Director; the Site Director backup is not the PI where the PI is the Site Director)</w:t>
            </w:r>
          </w:p>
        </w:tc>
        <w:tc>
          <w:tcPr>
            <w:tcW w:type="dxa" w:w="2764"/>
            <w:shd w:val="clear" w:color="auto" w:fill="D9E2F3"/>
          </w:tcPr>
          <w:p>
            <w:pPr>
              <w:keepNext/>
              <w:spacing w:after="0"/>
            </w:pPr>
            <w:r>
              <w:rPr>
                <w:b/>
                <w:sz w:val="17"/>
              </w:rPr>
              <w:t>Name</w:t>
            </w:r>
          </w:p>
        </w:tc>
        <w:tc>
          <w:tcPr>
            <w:tcW w:type="dxa" w:w="2764"/>
            <w:shd w:val="clear" w:color="auto" w:fill="D9E2F3"/>
          </w:tcPr>
          <w:p>
            <w:pPr>
              <w:keepNext/>
              <w:spacing w:after="0"/>
            </w:pPr>
            <w:r>
              <w:rPr>
                <w:b/>
                <w:sz w:val="17"/>
              </w:rPr>
              <w:t>Backup</w:t>
            </w:r>
          </w:p>
        </w:tc>
        <w:tc>
          <w:tcPr>
            <w:tcW w:type="dxa" w:w="2764"/>
            <w:shd w:val="clear" w:color="auto" w:fill="D9E2F3"/>
          </w:tcPr>
          <w:p>
            <w:pPr>
              <w:keepNext/>
              <w:spacing w:after="0"/>
            </w:pPr>
            <w:r>
              <w:rPr>
                <w:b/>
                <w:sz w:val="17"/>
              </w:rPr>
              <w:t>Backup trained and delegated on F-302-01 (Y/N)</w:t>
            </w:r>
          </w:p>
        </w:tc>
      </w:tr>
      <w:tr>
        <w:trPr>
          <w:cantSplit w:val="true"/>
          <w:trHeight w:val="461"/>
        </w:trPr>
        <w:tc>
          <w:tcPr>
            <w:tcW w:type="dxa" w:w="5529"/>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r>
      <w:tr>
        <w:trPr>
          <w:cantSplit w:val="true"/>
          <w:trHeight w:val="461"/>
        </w:trPr>
        <w:tc>
          <w:tcPr>
            <w:tcW w:type="dxa" w:w="5529"/>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r>
      <w:tr>
        <w:trPr>
          <w:cantSplit w:val="true"/>
          <w:trHeight w:val="461"/>
        </w:trPr>
        <w:tc>
          <w:tcPr>
            <w:tcW w:type="dxa" w:w="5529"/>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r>
      <w:tr>
        <w:trPr>
          <w:cantSplit w:val="true"/>
          <w:trHeight w:val="461"/>
        </w:trPr>
        <w:tc>
          <w:tcPr>
            <w:tcW w:type="dxa" w:w="5529"/>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r>
      <w:tr>
        <w:trPr>
          <w:cantSplit w:val="true"/>
          <w:trHeight w:val="461"/>
        </w:trPr>
        <w:tc>
          <w:tcPr>
            <w:tcW w:type="dxa" w:w="5529"/>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r>
      <w:tr>
        <w:trPr>
          <w:cantSplit w:val="true"/>
          <w:trHeight w:val="461"/>
        </w:trPr>
        <w:tc>
          <w:tcPr>
            <w:tcW w:type="dxa" w:w="5529"/>
          </w:tcPr>
          <w:p>
            <w:pPr>
              <w:keepNext/>
              <w:spacing w:after="0"/>
            </w:pPr>
          </w:p>
        </w:tc>
        <w:tc>
          <w:tcPr>
            <w:tcW w:type="dxa" w:w="2764"/>
          </w:tcPr>
          <w:p>
            <w:pPr>
              <w:keepNext/>
              <w:spacing w:after="0"/>
            </w:pPr>
          </w:p>
        </w:tc>
        <w:tc>
          <w:tcPr>
            <w:tcW w:type="dxa" w:w="2764"/>
          </w:tcPr>
          <w:p>
            <w:pPr>
              <w:keepNext/>
              <w:spacing w:after="0"/>
            </w:pPr>
          </w:p>
        </w:tc>
        <w:tc>
          <w:tcPr>
            <w:tcW w:type="dxa" w:w="2764"/>
          </w:tcPr>
          <w:p>
            <w:pPr>
              <w:keepNext/>
              <w:spacing w:after="0"/>
            </w:pPr>
          </w:p>
        </w:tc>
      </w:tr>
      <w:tr>
        <w:trPr>
          <w:cantSplit w:val="true"/>
          <w:trHeight w:val="461"/>
        </w:trPr>
        <w:tc>
          <w:tcPr>
            <w:tcW w:type="dxa" w:w="5529"/>
          </w:tcPr>
          <w:p>
            <w:pPr>
              <w:spacing w:after="0"/>
            </w:pPr>
          </w:p>
        </w:tc>
        <w:tc>
          <w:tcPr>
            <w:tcW w:type="dxa" w:w="2764"/>
          </w:tcPr>
          <w:p>
            <w:pPr>
              <w:spacing w:after="0"/>
            </w:pPr>
          </w:p>
        </w:tc>
        <w:tc>
          <w:tcPr>
            <w:tcW w:type="dxa" w:w="2764"/>
          </w:tcPr>
          <w:p>
            <w:pPr>
              <w:spacing w:after="0"/>
            </w:pPr>
          </w:p>
        </w:tc>
        <w:tc>
          <w:tcPr>
            <w:tcW w:type="dxa" w:w="2764"/>
          </w:tcPr>
          <w:p>
            <w:pPr>
              <w:spacing w:after="0"/>
            </w:pPr>
          </w:p>
        </w:tc>
      </w:tr>
    </w:tbl>
    <w:p>
      <w:pPr>
        <w:spacing w:after="40"/>
      </w:pPr>
    </w:p>
    <w:p>
      <w:pPr>
        <w:pStyle w:val="Heading2"/>
      </w:pPr>
      <w:r>
        <w:t>Critical activities</w:t>
      </w:r>
    </w:p>
    <w:tbl>
      <w:tblPr>
        <w:tblStyle w:val="TableGrid"/>
        <w:tblW w:type="auto" w:w="0"/>
        <w:jc w:val="left"/>
        <w:tblLayout w:type="fixed"/>
        <w:tblLook w:firstColumn="1" w:firstRow="1" w:lastColumn="0" w:lastRow="0" w:noHBand="0" w:noVBand="1" w:val="04A0"/>
      </w:tblPr>
      <w:tblGrid>
        <w:gridCol w:w="6912"/>
        <w:gridCol w:w="3456"/>
        <w:gridCol w:w="3456"/>
      </w:tblGrid>
      <w:tr>
        <w:trPr>
          <w:tblHeader w:val="true"/>
        </w:trPr>
        <w:tc>
          <w:tcPr>
            <w:tcW w:type="dxa" w:w="6912"/>
            <w:shd w:val="clear" w:color="auto" w:fill="D9E2F3"/>
          </w:tcPr>
          <w:p>
            <w:pPr>
              <w:keepNext/>
              <w:spacing w:after="0"/>
            </w:pPr>
            <w:r>
              <w:rPr>
                <w:b/>
                <w:sz w:val="17"/>
              </w:rPr>
              <w:t>Critical activity</w:t>
            </w:r>
          </w:p>
        </w:tc>
        <w:tc>
          <w:tcPr>
            <w:tcW w:type="dxa" w:w="3456"/>
            <w:shd w:val="clear" w:color="auto" w:fill="D9E2F3"/>
          </w:tcPr>
          <w:p>
            <w:pPr>
              <w:keepNext/>
              <w:spacing w:after="0"/>
            </w:pPr>
            <w:r>
              <w:rPr>
                <w:b/>
                <w:sz w:val="17"/>
              </w:rPr>
              <w:t>Responsible</w:t>
            </w:r>
          </w:p>
        </w:tc>
        <w:tc>
          <w:tcPr>
            <w:tcW w:type="dxa" w:w="3456"/>
            <w:shd w:val="clear" w:color="auto" w:fill="D9E2F3"/>
          </w:tcPr>
          <w:p>
            <w:pPr>
              <w:keepNext/>
              <w:spacing w:after="0"/>
            </w:pPr>
            <w:r>
              <w:rPr>
                <w:b/>
                <w:sz w:val="17"/>
              </w:rPr>
              <w:t>Backup</w:t>
            </w:r>
          </w:p>
        </w:tc>
      </w:tr>
      <w:tr>
        <w:trPr>
          <w:cantSplit w:val="true"/>
          <w:trHeight w:val="461"/>
        </w:trPr>
        <w:tc>
          <w:tcPr>
            <w:tcW w:type="dxa" w:w="6912"/>
          </w:tcPr>
          <w:p>
            <w:pPr>
              <w:keepNext/>
              <w:spacing w:after="0"/>
            </w:pPr>
          </w:p>
        </w:tc>
        <w:tc>
          <w:tcPr>
            <w:tcW w:type="dxa" w:w="3456"/>
          </w:tcPr>
          <w:p>
            <w:pPr>
              <w:keepNext/>
              <w:spacing w:after="0"/>
            </w:pPr>
          </w:p>
        </w:tc>
        <w:tc>
          <w:tcPr>
            <w:tcW w:type="dxa" w:w="3456"/>
          </w:tcPr>
          <w:p>
            <w:pPr>
              <w:keepNext/>
              <w:spacing w:after="0"/>
            </w:pPr>
          </w:p>
        </w:tc>
      </w:tr>
      <w:tr>
        <w:trPr>
          <w:cantSplit w:val="true"/>
          <w:trHeight w:val="461"/>
        </w:trPr>
        <w:tc>
          <w:tcPr>
            <w:tcW w:type="dxa" w:w="6912"/>
          </w:tcPr>
          <w:p>
            <w:pPr>
              <w:keepNext/>
              <w:spacing w:after="0"/>
            </w:pPr>
          </w:p>
        </w:tc>
        <w:tc>
          <w:tcPr>
            <w:tcW w:type="dxa" w:w="3456"/>
          </w:tcPr>
          <w:p>
            <w:pPr>
              <w:keepNext/>
              <w:spacing w:after="0"/>
            </w:pPr>
          </w:p>
        </w:tc>
        <w:tc>
          <w:tcPr>
            <w:tcW w:type="dxa" w:w="3456"/>
          </w:tcPr>
          <w:p>
            <w:pPr>
              <w:keepNext/>
              <w:spacing w:after="0"/>
            </w:pPr>
          </w:p>
        </w:tc>
      </w:tr>
      <w:tr>
        <w:trPr>
          <w:cantSplit w:val="true"/>
          <w:trHeight w:val="461"/>
        </w:trPr>
        <w:tc>
          <w:tcPr>
            <w:tcW w:type="dxa" w:w="6912"/>
          </w:tcPr>
          <w:p>
            <w:pPr>
              <w:keepNext/>
              <w:spacing w:after="0"/>
            </w:pPr>
          </w:p>
        </w:tc>
        <w:tc>
          <w:tcPr>
            <w:tcW w:type="dxa" w:w="3456"/>
          </w:tcPr>
          <w:p>
            <w:pPr>
              <w:keepNext/>
              <w:spacing w:after="0"/>
            </w:pPr>
          </w:p>
        </w:tc>
        <w:tc>
          <w:tcPr>
            <w:tcW w:type="dxa" w:w="3456"/>
          </w:tcPr>
          <w:p>
            <w:pPr>
              <w:keepNext/>
              <w:spacing w:after="0"/>
            </w:pPr>
          </w:p>
        </w:tc>
      </w:tr>
      <w:tr>
        <w:trPr>
          <w:cantSplit w:val="true"/>
          <w:trHeight w:val="461"/>
        </w:trPr>
        <w:tc>
          <w:tcPr>
            <w:tcW w:type="dxa" w:w="6912"/>
          </w:tcPr>
          <w:p>
            <w:pPr>
              <w:keepNext/>
              <w:spacing w:after="0"/>
            </w:pPr>
          </w:p>
        </w:tc>
        <w:tc>
          <w:tcPr>
            <w:tcW w:type="dxa" w:w="3456"/>
          </w:tcPr>
          <w:p>
            <w:pPr>
              <w:keepNext/>
              <w:spacing w:after="0"/>
            </w:pPr>
          </w:p>
        </w:tc>
        <w:tc>
          <w:tcPr>
            <w:tcW w:type="dxa" w:w="3456"/>
          </w:tcPr>
          <w:p>
            <w:pPr>
              <w:keepNext/>
              <w:spacing w:after="0"/>
            </w:pPr>
          </w:p>
        </w:tc>
      </w:tr>
      <w:tr>
        <w:trPr>
          <w:cantSplit w:val="true"/>
          <w:trHeight w:val="461"/>
        </w:trPr>
        <w:tc>
          <w:tcPr>
            <w:tcW w:type="dxa" w:w="6912"/>
          </w:tcPr>
          <w:p>
            <w:pPr>
              <w:spacing w:after="0"/>
            </w:pPr>
          </w:p>
        </w:tc>
        <w:tc>
          <w:tcPr>
            <w:tcW w:type="dxa" w:w="3456"/>
          </w:tcPr>
          <w:p>
            <w:pPr>
              <w:spacing w:after="0"/>
            </w:pPr>
          </w:p>
        </w:tc>
        <w:tc>
          <w:tcPr>
            <w:tcW w:type="dxa" w:w="3456"/>
          </w:tcPr>
          <w:p>
            <w:pPr>
              <w:spacing w:after="0"/>
            </w:pPr>
          </w:p>
        </w:tc>
      </w:tr>
    </w:tbl>
    <w:p>
      <w:pPr>
        <w:spacing w:after="40"/>
      </w:pPr>
    </w:p>
    <w:p>
      <w:pPr>
        <w:pStyle w:val="Heading2"/>
      </w:pPr>
      <w:r>
        <w:t>Storage units (SOP-16 5.3)</w:t>
      </w:r>
    </w:p>
    <w:tbl>
      <w:tblPr>
        <w:tblStyle w:val="TableGrid"/>
        <w:tblW w:type="auto" w:w="0"/>
        <w:jc w:val="left"/>
        <w:tblLayout w:type="fixed"/>
        <w:tblLook w:firstColumn="1" w:firstRow="1" w:lastColumn="0" w:lastRow="0" w:noHBand="0" w:noVBand="1" w:val="04A0"/>
      </w:tblPr>
      <w:tblGrid>
        <w:gridCol w:w="2126"/>
        <w:gridCol w:w="2126"/>
        <w:gridCol w:w="3190"/>
        <w:gridCol w:w="2126"/>
        <w:gridCol w:w="2126"/>
        <w:gridCol w:w="2126"/>
      </w:tblGrid>
      <w:tr>
        <w:trPr>
          <w:tblHeader w:val="true"/>
        </w:trPr>
        <w:tc>
          <w:tcPr>
            <w:tcW w:type="dxa" w:w="2126"/>
            <w:shd w:val="clear" w:color="auto" w:fill="D9E2F3"/>
          </w:tcPr>
          <w:p>
            <w:pPr>
              <w:keepNext/>
              <w:spacing w:after="0"/>
            </w:pPr>
            <w:r>
              <w:rPr>
                <w:b/>
                <w:sz w:val="17"/>
              </w:rPr>
              <w:t>Storage unit (ID and type)</w:t>
            </w:r>
          </w:p>
        </w:tc>
        <w:tc>
          <w:tcPr>
            <w:tcW w:type="dxa" w:w="2126"/>
            <w:shd w:val="clear" w:color="auto" w:fill="D9E2F3"/>
          </w:tcPr>
          <w:p>
            <w:pPr>
              <w:keepNext/>
              <w:spacing w:after="0"/>
            </w:pPr>
            <w:r>
              <w:rPr>
                <w:b/>
                <w:sz w:val="17"/>
              </w:rPr>
              <w:t>Contents (IP, specimens, kits)</w:t>
            </w:r>
          </w:p>
        </w:tc>
        <w:tc>
          <w:tcPr>
            <w:tcW w:type="dxa" w:w="3190"/>
            <w:shd w:val="clear" w:color="auto" w:fill="D9E2F3"/>
          </w:tcPr>
          <w:p>
            <w:pPr>
              <w:keepNext/>
              <w:spacing w:after="0"/>
            </w:pPr>
            <w:r>
              <w:rPr>
                <w:b/>
                <w:sz w:val="17"/>
              </w:rPr>
              <w:t>Monitoring and after-hours alarm recipients (SOP-06 5.2)</w:t>
            </w:r>
          </w:p>
        </w:tc>
        <w:tc>
          <w:tcPr>
            <w:tcW w:type="dxa" w:w="2126"/>
            <w:shd w:val="clear" w:color="auto" w:fill="D9E2F3"/>
          </w:tcPr>
          <w:p>
            <w:pPr>
              <w:keepNext/>
              <w:spacing w:after="0"/>
            </w:pPr>
            <w:r>
              <w:rPr>
                <w:b/>
                <w:sz w:val="17"/>
              </w:rPr>
              <w:t>Backup power and duration</w:t>
            </w:r>
          </w:p>
        </w:tc>
        <w:tc>
          <w:tcPr>
            <w:tcW w:type="dxa" w:w="2126"/>
            <w:shd w:val="clear" w:color="auto" w:fill="D9E2F3"/>
          </w:tcPr>
          <w:p>
            <w:pPr>
              <w:keepNext/>
              <w:spacing w:after="0"/>
            </w:pPr>
            <w:r>
              <w:rPr>
                <w:b/>
                <w:sz w:val="17"/>
              </w:rPr>
              <w:t>Backup storage location</w:t>
            </w:r>
          </w:p>
        </w:tc>
        <w:tc>
          <w:tcPr>
            <w:tcW w:type="dxa" w:w="2126"/>
            <w:shd w:val="clear" w:color="auto" w:fill="D9E2F3"/>
          </w:tcPr>
          <w:p>
            <w:pPr>
              <w:keepNext/>
              <w:spacing w:after="0"/>
            </w:pPr>
            <w:r>
              <w:rPr>
                <w:b/>
                <w:sz w:val="17"/>
              </w:rPr>
              <w:t>Sponsor approval of backup location, per study (date)</w:t>
            </w:r>
          </w:p>
        </w:tc>
      </w:tr>
      <w:tr>
        <w:trPr>
          <w:cantSplit w:val="true"/>
          <w:trHeight w:val="461"/>
        </w:trPr>
        <w:tc>
          <w:tcPr>
            <w:tcW w:type="dxa" w:w="2126"/>
          </w:tcPr>
          <w:p>
            <w:pPr>
              <w:keepNext/>
              <w:spacing w:after="0"/>
            </w:pPr>
          </w:p>
        </w:tc>
        <w:tc>
          <w:tcPr>
            <w:tcW w:type="dxa" w:w="2126"/>
          </w:tcPr>
          <w:p>
            <w:pPr>
              <w:keepNext/>
              <w:spacing w:after="0"/>
            </w:pPr>
          </w:p>
        </w:tc>
        <w:tc>
          <w:tcPr>
            <w:tcW w:type="dxa" w:w="3190"/>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3190"/>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3190"/>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3190"/>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r>
      <w:tr>
        <w:trPr>
          <w:cantSplit w:val="true"/>
          <w:trHeight w:val="461"/>
        </w:trPr>
        <w:tc>
          <w:tcPr>
            <w:tcW w:type="dxa" w:w="2126"/>
          </w:tcPr>
          <w:p>
            <w:pPr>
              <w:keepNext/>
              <w:spacing w:after="0"/>
            </w:pPr>
          </w:p>
        </w:tc>
        <w:tc>
          <w:tcPr>
            <w:tcW w:type="dxa" w:w="2126"/>
          </w:tcPr>
          <w:p>
            <w:pPr>
              <w:keepNext/>
              <w:spacing w:after="0"/>
            </w:pPr>
          </w:p>
        </w:tc>
        <w:tc>
          <w:tcPr>
            <w:tcW w:type="dxa" w:w="3190"/>
          </w:tcPr>
          <w:p>
            <w:pPr>
              <w:keepNext/>
              <w:spacing w:after="0"/>
            </w:pPr>
          </w:p>
        </w:tc>
        <w:tc>
          <w:tcPr>
            <w:tcW w:type="dxa" w:w="2126"/>
          </w:tcPr>
          <w:p>
            <w:pPr>
              <w:keepNext/>
              <w:spacing w:after="0"/>
            </w:pPr>
          </w:p>
        </w:tc>
        <w:tc>
          <w:tcPr>
            <w:tcW w:type="dxa" w:w="2126"/>
          </w:tcPr>
          <w:p>
            <w:pPr>
              <w:keepNext/>
              <w:spacing w:after="0"/>
            </w:pPr>
          </w:p>
        </w:tc>
        <w:tc>
          <w:tcPr>
            <w:tcW w:type="dxa" w:w="2126"/>
          </w:tcPr>
          <w:p>
            <w:pPr>
              <w:keepNext/>
              <w:spacing w:after="0"/>
            </w:pPr>
          </w:p>
        </w:tc>
      </w:tr>
      <w:tr>
        <w:trPr>
          <w:cantSplit w:val="true"/>
          <w:trHeight w:val="461"/>
        </w:trPr>
        <w:tc>
          <w:tcPr>
            <w:tcW w:type="dxa" w:w="2126"/>
          </w:tcPr>
          <w:p>
            <w:pPr>
              <w:spacing w:after="0"/>
            </w:pPr>
          </w:p>
        </w:tc>
        <w:tc>
          <w:tcPr>
            <w:tcW w:type="dxa" w:w="2126"/>
          </w:tcPr>
          <w:p>
            <w:pPr>
              <w:spacing w:after="0"/>
            </w:pPr>
          </w:p>
        </w:tc>
        <w:tc>
          <w:tcPr>
            <w:tcW w:type="dxa" w:w="3190"/>
          </w:tcPr>
          <w:p>
            <w:pPr>
              <w:spacing w:after="0"/>
            </w:pPr>
          </w:p>
        </w:tc>
        <w:tc>
          <w:tcPr>
            <w:tcW w:type="dxa" w:w="2126"/>
          </w:tcPr>
          <w:p>
            <w:pPr>
              <w:spacing w:after="0"/>
            </w:pPr>
          </w:p>
        </w:tc>
        <w:tc>
          <w:tcPr>
            <w:tcW w:type="dxa" w:w="2126"/>
          </w:tcPr>
          <w:p>
            <w:pPr>
              <w:spacing w:after="0"/>
            </w:pPr>
          </w:p>
        </w:tc>
        <w:tc>
          <w:tcPr>
            <w:tcW w:type="dxa" w:w="2126"/>
          </w:tcPr>
          <w:p>
            <w:pPr>
              <w:spacing w:after="0"/>
            </w:pPr>
          </w:p>
        </w:tc>
      </w:tr>
    </w:tbl>
    <w:p>
      <w:pPr>
        <w:spacing w:after="40"/>
      </w:pPr>
    </w:p>
    <w:p>
      <w:pPr>
        <w:pStyle w:val="Heading2"/>
      </w:pPr>
      <w:r>
        <w:t>Part 2. Electronic systems (SOP-16 5.4)</w:t>
      </w:r>
    </w:p>
    <w:tbl>
      <w:tblPr>
        <w:tblStyle w:val="TableGrid"/>
        <w:tblW w:type="auto" w:w="0"/>
        <w:jc w:val="left"/>
        <w:tblLayout w:type="fixed"/>
        <w:tblLook w:firstColumn="1" w:firstRow="1" w:lastColumn="0" w:lastRow="0" w:noHBand="0" w:noVBand="1" w:val="04A0"/>
      </w:tblPr>
      <w:tblGrid>
        <w:gridCol w:w="3770"/>
        <w:gridCol w:w="1256"/>
        <w:gridCol w:w="2513"/>
        <w:gridCol w:w="3770"/>
        <w:gridCol w:w="2513"/>
      </w:tblGrid>
      <w:tr>
        <w:trPr>
          <w:tblHeader w:val="true"/>
        </w:trPr>
        <w:tc>
          <w:tcPr>
            <w:tcW w:type="dxa" w:w="3770"/>
            <w:shd w:val="clear" w:color="auto" w:fill="D9E2F3"/>
          </w:tcPr>
          <w:p>
            <w:pPr>
              <w:spacing w:after="0"/>
            </w:pPr>
            <w:r>
              <w:rPr>
                <w:b/>
                <w:sz w:val="17"/>
              </w:rPr>
              <w:t>System (EHR, eSource, EDC, eConsent, eISF, IxRS, ePRO, temperature monitoring, email)</w:t>
            </w:r>
          </w:p>
        </w:tc>
        <w:tc>
          <w:tcPr>
            <w:tcW w:type="dxa" w:w="1256"/>
            <w:shd w:val="clear" w:color="auto" w:fill="D9E2F3"/>
          </w:tcPr>
          <w:p>
            <w:pPr>
              <w:spacing w:after="0"/>
            </w:pPr>
            <w:r>
              <w:rPr>
                <w:b/>
                <w:sz w:val="17"/>
              </w:rPr>
              <w:t>Owner (site or sponsor)</w:t>
            </w:r>
          </w:p>
        </w:tc>
        <w:tc>
          <w:tcPr>
            <w:tcW w:type="dxa" w:w="2513"/>
            <w:shd w:val="clear" w:color="auto" w:fill="D9E2F3"/>
          </w:tcPr>
          <w:p>
            <w:pPr>
              <w:spacing w:after="0"/>
            </w:pPr>
            <w:r>
              <w:rPr>
                <w:b/>
                <w:sz w:val="17"/>
              </w:rPr>
              <w:t>Support contact</w:t>
            </w:r>
          </w:p>
        </w:tc>
        <w:tc>
          <w:tcPr>
            <w:tcW w:type="dxa" w:w="3770"/>
            <w:shd w:val="clear" w:color="auto" w:fill="D9E2F3"/>
          </w:tcPr>
          <w:p>
            <w:pPr>
              <w:spacing w:after="0"/>
            </w:pPr>
            <w:r>
              <w:rPr>
                <w:b/>
                <w:sz w:val="17"/>
              </w:rPr>
              <w:t>Downtime procedure</w:t>
            </w:r>
          </w:p>
        </w:tc>
        <w:tc>
          <w:tcPr>
            <w:tcW w:type="dxa" w:w="2513"/>
            <w:shd w:val="clear" w:color="auto" w:fill="D9E2F3"/>
          </w:tcPr>
          <w:p>
            <w:pPr>
              <w:spacing w:after="0"/>
            </w:pPr>
            <w:r>
              <w:rPr>
                <w:b/>
                <w:sz w:val="17"/>
              </w:rPr>
              <w:t>Recovery target (IT support or vendor agreement)</w:t>
            </w: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r>
        <w:trPr>
          <w:cantSplit w:val="true"/>
          <w:trHeight w:val="461"/>
        </w:trPr>
        <w:tc>
          <w:tcPr>
            <w:tcW w:type="dxa" w:w="3770"/>
          </w:tcPr>
          <w:p>
            <w:pPr>
              <w:spacing w:after="0"/>
            </w:pPr>
          </w:p>
        </w:tc>
        <w:tc>
          <w:tcPr>
            <w:tcW w:type="dxa" w:w="1256"/>
          </w:tcPr>
          <w:p>
            <w:pPr>
              <w:spacing w:after="0"/>
            </w:pPr>
          </w:p>
        </w:tc>
        <w:tc>
          <w:tcPr>
            <w:tcW w:type="dxa" w:w="2513"/>
          </w:tcPr>
          <w:p>
            <w:pPr>
              <w:spacing w:after="0"/>
            </w:pPr>
          </w:p>
        </w:tc>
        <w:tc>
          <w:tcPr>
            <w:tcW w:type="dxa" w:w="3770"/>
          </w:tcPr>
          <w:p>
            <w:pPr>
              <w:spacing w:after="0"/>
            </w:pPr>
          </w:p>
        </w:tc>
        <w:tc>
          <w:tcPr>
            <w:tcW w:type="dxa" w:w="2513"/>
          </w:tcPr>
          <w:p>
            <w:pPr>
              <w:spacing w:after="0"/>
            </w:pPr>
          </w:p>
        </w:tc>
      </w:tr>
    </w:tbl>
    <w:p>
      <w:pPr>
        <w:spacing w:after="40"/>
      </w:pPr>
    </w:p>
    <w:p>
      <w:pPr>
        <w:pStyle w:val="Heading2"/>
      </w:pPr>
      <w:r>
        <w:t>Backup arrangements</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Backup IP and specimen storage and agreement (SOP-M1, if adopted)</w:t>
            </w:r>
          </w:p>
        </w:tc>
        <w:tc>
          <w:tcPr>
            <w:tcW w:type="dxa" w:w="2447"/>
          </w:tcPr>
          <w:p/>
        </w:tc>
        <w:tc>
          <w:tcPr>
            <w:tcW w:type="dxa" w:w="2160"/>
            <w:shd w:val="clear" w:color="auto" w:fill="D9E2F3"/>
          </w:tcPr>
          <w:p>
            <w:pPr>
              <w:spacing w:after="0"/>
            </w:pPr>
            <w:r>
              <w:rPr>
                <w:b/>
                <w:sz w:val="17"/>
              </w:rPr>
              <w:t>Paper downtime forms location</w:t>
            </w:r>
          </w:p>
        </w:tc>
        <w:tc>
          <w:tcPr>
            <w:tcW w:type="dxa" w:w="2447"/>
          </w:tcPr>
          <w:p/>
        </w:tc>
        <w:tc>
          <w:tcPr>
            <w:tcW w:type="dxa" w:w="2160"/>
            <w:shd w:val="clear" w:color="auto" w:fill="D9E2F3"/>
          </w:tcPr>
          <w:p>
            <w:pPr>
              <w:spacing w:after="0"/>
            </w:pPr>
            <w:r>
              <w:rPr>
                <w:b/>
                <w:sz w:val="17"/>
              </w:rPr>
              <w:t>Coolers, conditioned packs and data loggers location</w:t>
            </w:r>
          </w:p>
        </w:tc>
        <w:tc>
          <w:tcPr>
            <w:tcW w:type="dxa" w:w="2447"/>
          </w:tcPr>
          <w:p/>
        </w:tc>
      </w:tr>
      <w:tr>
        <w:trPr>
          <w:trHeight w:val="432"/>
        </w:trPr>
        <w:tc>
          <w:tcPr>
            <w:tcW w:type="dxa" w:w="2160"/>
            <w:shd w:val="clear" w:color="auto" w:fill="D9E2F3"/>
          </w:tcPr>
          <w:p>
            <w:pPr>
              <w:spacing w:after="0"/>
            </w:pPr>
            <w:r>
              <w:rPr>
                <w:b/>
                <w:sz w:val="17"/>
              </w:rPr>
              <w:t>Dry ice supplier</w:t>
            </w:r>
          </w:p>
        </w:tc>
        <w:tc>
          <w:tcPr>
            <w:tcW w:type="dxa" w:w="2447"/>
          </w:tcPr>
          <w:p/>
        </w:tc>
        <w:tc>
          <w:tcPr>
            <w:tcW w:type="dxa" w:w="2160"/>
            <w:shd w:val="clear" w:color="auto" w:fill="D9E2F3"/>
          </w:tcPr>
          <w:p>
            <w:pPr>
              <w:spacing w:after="0"/>
            </w:pPr>
            <w:r>
              <w:rPr>
                <w:b/>
                <w:sz w:val="17"/>
              </w:rPr>
              <w:t>Alternate visit location</w:t>
            </w:r>
          </w:p>
        </w:tc>
        <w:tc>
          <w:tcPr>
            <w:tcW w:type="dxa" w:w="2447"/>
          </w:tcPr>
          <w:p/>
        </w:tc>
        <w:tc>
          <w:tcPr>
            <w:tcW w:type="dxa" w:w="2160"/>
            <w:shd w:val="clear" w:color="auto" w:fill="D9E2F3"/>
          </w:tcPr>
          <w:p>
            <w:pPr>
              <w:spacing w:after="0"/>
            </w:pPr>
            <w:r>
              <w:rPr>
                <w:b/>
                <w:sz w:val="17"/>
              </w:rPr>
              <w:t>System holding participant contact details</w:t>
            </w:r>
          </w:p>
        </w:tc>
        <w:tc>
          <w:tcPr>
            <w:tcW w:type="dxa" w:w="2447"/>
          </w:tcPr>
          <w:p/>
        </w:tc>
      </w:tr>
    </w:tbl>
    <w:p>
      <w:pPr>
        <w:spacing w:after="0"/>
      </w:pPr>
    </w:p>
    <w:p>
      <w:pPr>
        <w:pStyle w:val="Heading2"/>
      </w:pPr>
      <w:r>
        <w:t>Part 3. Continuity events and PI coverage (SOP-16 5.2.5, 5.6.4, 5.6.6)</w:t>
      </w:r>
    </w:p>
    <w:tbl>
      <w:tblPr>
        <w:tblStyle w:val="TableGrid"/>
        <w:tblW w:type="auto" w:w="0"/>
        <w:jc w:val="left"/>
        <w:tblLayout w:type="fixed"/>
        <w:tblLook w:firstColumn="1" w:firstRow="1" w:lastColumn="0" w:lastRow="0" w:noHBand="0" w:noVBand="1" w:val="04A0"/>
      </w:tblPr>
      <w:tblGrid>
        <w:gridCol w:w="1063"/>
        <w:gridCol w:w="3190"/>
        <w:gridCol w:w="1063"/>
        <w:gridCol w:w="3190"/>
        <w:gridCol w:w="2126"/>
        <w:gridCol w:w="1063"/>
        <w:gridCol w:w="1063"/>
        <w:gridCol w:w="1063"/>
      </w:tblGrid>
      <w:tr>
        <w:trPr>
          <w:tblHeader w:val="true"/>
        </w:trPr>
        <w:tc>
          <w:tcPr>
            <w:tcW w:type="dxa" w:w="1063"/>
            <w:shd w:val="clear" w:color="auto" w:fill="D9E2F3"/>
          </w:tcPr>
          <w:p>
            <w:pPr>
              <w:keepNext/>
              <w:spacing w:after="0"/>
            </w:pPr>
            <w:r>
              <w:rPr>
                <w:b/>
                <w:sz w:val="17"/>
              </w:rPr>
              <w:t>Date</w:t>
            </w:r>
          </w:p>
        </w:tc>
        <w:tc>
          <w:tcPr>
            <w:tcW w:type="dxa" w:w="3190"/>
            <w:shd w:val="clear" w:color="auto" w:fill="D9E2F3"/>
          </w:tcPr>
          <w:p>
            <w:pPr>
              <w:keepNext/>
              <w:spacing w:after="0"/>
            </w:pPr>
            <w:r>
              <w:rPr>
                <w:b/>
                <w:sz w:val="17"/>
              </w:rPr>
              <w:t>Event (outage, weather, unplanned PI absence, other)</w:t>
            </w:r>
          </w:p>
        </w:tc>
        <w:tc>
          <w:tcPr>
            <w:tcW w:type="dxa" w:w="1063"/>
            <w:shd w:val="clear" w:color="auto" w:fill="D9E2F3"/>
          </w:tcPr>
          <w:p>
            <w:pPr>
              <w:keepNext/>
              <w:spacing w:after="0"/>
            </w:pPr>
            <w:r>
              <w:rPr>
                <w:b/>
                <w:sz w:val="17"/>
              </w:rPr>
              <w:t>Declared by</w:t>
            </w:r>
          </w:p>
        </w:tc>
        <w:tc>
          <w:tcPr>
            <w:tcW w:type="dxa" w:w="3190"/>
            <w:shd w:val="clear" w:color="auto" w:fill="D9E2F3"/>
          </w:tcPr>
          <w:p>
            <w:pPr>
              <w:keepNext/>
              <w:spacing w:after="0"/>
            </w:pPr>
            <w:r>
              <w:rPr>
                <w:b/>
                <w:sz w:val="17"/>
              </w:rPr>
              <w:t>Actions taken (coverage confirmed, IP moved)</w:t>
            </w:r>
          </w:p>
        </w:tc>
        <w:tc>
          <w:tcPr>
            <w:tcW w:type="dxa" w:w="2126"/>
            <w:shd w:val="clear" w:color="auto" w:fill="D9E2F3"/>
          </w:tcPr>
          <w:p>
            <w:pPr>
              <w:keepNext/>
              <w:spacing w:after="0"/>
            </w:pPr>
            <w:r>
              <w:rPr>
                <w:b/>
                <w:sz w:val="17"/>
              </w:rPr>
              <w:t>Studies affected and effect</w:t>
            </w:r>
          </w:p>
        </w:tc>
        <w:tc>
          <w:tcPr>
            <w:tcW w:type="dxa" w:w="1063"/>
            <w:shd w:val="clear" w:color="auto" w:fill="D9E2F3"/>
          </w:tcPr>
          <w:p>
            <w:pPr>
              <w:keepNext/>
              <w:spacing w:after="0"/>
            </w:pPr>
            <w:r>
              <w:rPr>
                <w:b/>
                <w:sz w:val="17"/>
              </w:rPr>
              <w:t>Sponsor and IRB notified (dates)</w:t>
            </w:r>
          </w:p>
        </w:tc>
        <w:tc>
          <w:tcPr>
            <w:tcW w:type="dxa" w:w="1063"/>
            <w:shd w:val="clear" w:color="auto" w:fill="D9E2F3"/>
          </w:tcPr>
          <w:p>
            <w:pPr>
              <w:keepNext/>
              <w:spacing w:after="0"/>
            </w:pPr>
            <w:r>
              <w:rPr>
                <w:b/>
                <w:sz w:val="17"/>
              </w:rPr>
              <w:t>Deviations on F-308-01 (Y/N)</w:t>
            </w:r>
          </w:p>
        </w:tc>
        <w:tc>
          <w:tcPr>
            <w:tcW w:type="dxa" w:w="1063"/>
            <w:shd w:val="clear" w:color="auto" w:fill="D9E2F3"/>
          </w:tcPr>
          <w:p>
            <w:pPr>
              <w:keepNext/>
              <w:spacing w:after="0"/>
            </w:pPr>
            <w:r>
              <w:rPr>
                <w:b/>
                <w:sz w:val="17"/>
              </w:rPr>
              <w:t>CAPA number</w:t>
            </w:r>
          </w:p>
        </w:tc>
      </w:tr>
      <w:tr>
        <w:trPr>
          <w:cantSplit w:val="true"/>
          <w:trHeight w:val="461"/>
        </w:trPr>
        <w:tc>
          <w:tcPr>
            <w:tcW w:type="dxa" w:w="1063"/>
          </w:tcPr>
          <w:p>
            <w:pPr>
              <w:keepNext/>
              <w:spacing w:after="0"/>
            </w:pPr>
          </w:p>
        </w:tc>
        <w:tc>
          <w:tcPr>
            <w:tcW w:type="dxa" w:w="3190"/>
          </w:tcPr>
          <w:p>
            <w:pPr>
              <w:keepNext/>
              <w:spacing w:after="0"/>
            </w:pPr>
          </w:p>
        </w:tc>
        <w:tc>
          <w:tcPr>
            <w:tcW w:type="dxa" w:w="1063"/>
          </w:tcPr>
          <w:p>
            <w:pPr>
              <w:keepNext/>
              <w:spacing w:after="0"/>
            </w:pPr>
          </w:p>
        </w:tc>
        <w:tc>
          <w:tcPr>
            <w:tcW w:type="dxa" w:w="3190"/>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3190"/>
          </w:tcPr>
          <w:p>
            <w:pPr>
              <w:keepNext/>
              <w:spacing w:after="0"/>
            </w:pPr>
          </w:p>
        </w:tc>
        <w:tc>
          <w:tcPr>
            <w:tcW w:type="dxa" w:w="1063"/>
          </w:tcPr>
          <w:p>
            <w:pPr>
              <w:keepNext/>
              <w:spacing w:after="0"/>
            </w:pPr>
          </w:p>
        </w:tc>
        <w:tc>
          <w:tcPr>
            <w:tcW w:type="dxa" w:w="3190"/>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3190"/>
          </w:tcPr>
          <w:p>
            <w:pPr>
              <w:keepNext/>
              <w:spacing w:after="0"/>
            </w:pPr>
          </w:p>
        </w:tc>
        <w:tc>
          <w:tcPr>
            <w:tcW w:type="dxa" w:w="1063"/>
          </w:tcPr>
          <w:p>
            <w:pPr>
              <w:keepNext/>
              <w:spacing w:after="0"/>
            </w:pPr>
          </w:p>
        </w:tc>
        <w:tc>
          <w:tcPr>
            <w:tcW w:type="dxa" w:w="3190"/>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keepNext/>
              <w:spacing w:after="0"/>
            </w:pPr>
          </w:p>
        </w:tc>
        <w:tc>
          <w:tcPr>
            <w:tcW w:type="dxa" w:w="3190"/>
          </w:tcPr>
          <w:p>
            <w:pPr>
              <w:keepNext/>
              <w:spacing w:after="0"/>
            </w:pPr>
          </w:p>
        </w:tc>
        <w:tc>
          <w:tcPr>
            <w:tcW w:type="dxa" w:w="1063"/>
          </w:tcPr>
          <w:p>
            <w:pPr>
              <w:keepNext/>
              <w:spacing w:after="0"/>
            </w:pPr>
          </w:p>
        </w:tc>
        <w:tc>
          <w:tcPr>
            <w:tcW w:type="dxa" w:w="3190"/>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1063"/>
          </w:tcPr>
          <w:p>
            <w:pPr>
              <w:spacing w:after="0"/>
            </w:pPr>
          </w:p>
        </w:tc>
        <w:tc>
          <w:tcPr>
            <w:tcW w:type="dxa" w:w="3190"/>
          </w:tcPr>
          <w:p>
            <w:pPr>
              <w:spacing w:after="0"/>
            </w:pPr>
          </w:p>
        </w:tc>
        <w:tc>
          <w:tcPr>
            <w:tcW w:type="dxa" w:w="1063"/>
          </w:tcPr>
          <w:p>
            <w:pPr>
              <w:spacing w:after="0"/>
            </w:pPr>
          </w:p>
        </w:tc>
        <w:tc>
          <w:tcPr>
            <w:tcW w:type="dxa" w:w="3190"/>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bl>
    <w:p>
      <w:pPr>
        <w:spacing w:after="40"/>
      </w:pPr>
    </w:p>
    <w:p>
      <w:pPr>
        <w:pStyle w:val="Heading2"/>
      </w:pPr>
      <w:r>
        <w:t>Part 4. Annual tabletop tests</w:t>
      </w:r>
    </w:p>
    <w:tbl>
      <w:tblPr>
        <w:tblStyle w:val="TableGrid"/>
        <w:tblW w:type="auto" w:w="0"/>
        <w:jc w:val="left"/>
        <w:tblLayout w:type="fixed"/>
        <w:tblLook w:firstColumn="1" w:firstRow="1" w:lastColumn="0" w:lastRow="0" w:noHBand="0" w:noVBand="1" w:val="04A0"/>
      </w:tblPr>
      <w:tblGrid>
        <w:gridCol w:w="1256"/>
        <w:gridCol w:w="3770"/>
        <w:gridCol w:w="2513"/>
        <w:gridCol w:w="3770"/>
        <w:gridCol w:w="2513"/>
      </w:tblGrid>
      <w:tr>
        <w:trPr>
          <w:tblHeader w:val="true"/>
        </w:trPr>
        <w:tc>
          <w:tcPr>
            <w:tcW w:type="dxa" w:w="1256"/>
            <w:shd w:val="clear" w:color="auto" w:fill="D9E2F3"/>
          </w:tcPr>
          <w:p>
            <w:pPr>
              <w:keepNext/>
              <w:spacing w:after="0"/>
            </w:pPr>
            <w:r>
              <w:rPr>
                <w:b/>
                <w:sz w:val="17"/>
              </w:rPr>
              <w:t>Date</w:t>
            </w:r>
          </w:p>
        </w:tc>
        <w:tc>
          <w:tcPr>
            <w:tcW w:type="dxa" w:w="3770"/>
            <w:shd w:val="clear" w:color="auto" w:fill="D9E2F3"/>
          </w:tcPr>
          <w:p>
            <w:pPr>
              <w:keepNext/>
              <w:spacing w:after="0"/>
            </w:pPr>
            <w:r>
              <w:rPr>
                <w:b/>
                <w:sz w:val="17"/>
              </w:rPr>
              <w:t>Scenario (storage failure, IT outage, PI unavailability)</w:t>
            </w:r>
          </w:p>
        </w:tc>
        <w:tc>
          <w:tcPr>
            <w:tcW w:type="dxa" w:w="2513"/>
            <w:shd w:val="clear" w:color="auto" w:fill="D9E2F3"/>
          </w:tcPr>
          <w:p>
            <w:pPr>
              <w:keepNext/>
              <w:spacing w:after="0"/>
            </w:pPr>
            <w:r>
              <w:rPr>
                <w:b/>
                <w:sz w:val="17"/>
              </w:rPr>
              <w:t>Participants</w:t>
            </w:r>
          </w:p>
        </w:tc>
        <w:tc>
          <w:tcPr>
            <w:tcW w:type="dxa" w:w="3770"/>
            <w:shd w:val="clear" w:color="auto" w:fill="D9E2F3"/>
          </w:tcPr>
          <w:p>
            <w:pPr>
              <w:keepNext/>
              <w:spacing w:after="0"/>
            </w:pPr>
            <w:r>
              <w:rPr>
                <w:b/>
                <w:sz w:val="17"/>
              </w:rPr>
              <w:t>Results (contact tree, supplies, approvals, restore test reviewed)</w:t>
            </w:r>
          </w:p>
        </w:tc>
        <w:tc>
          <w:tcPr>
            <w:tcW w:type="dxa" w:w="2513"/>
            <w:shd w:val="clear" w:color="auto" w:fill="D9E2F3"/>
          </w:tcPr>
          <w:p>
            <w:pPr>
              <w:keepNext/>
              <w:spacing w:after="0"/>
            </w:pPr>
            <w:r>
              <w:rPr>
                <w:b/>
                <w:sz w:val="17"/>
              </w:rPr>
              <w:t>Gaps and CAPA number</w:t>
            </w:r>
          </w:p>
        </w:tc>
      </w:tr>
      <w:tr>
        <w:trPr>
          <w:cantSplit w:val="true"/>
          <w:trHeight w:val="461"/>
        </w:trPr>
        <w:tc>
          <w:tcPr>
            <w:tcW w:type="dxa" w:w="1256"/>
          </w:tcPr>
          <w:p>
            <w:pPr>
              <w:keepNext/>
              <w:spacing w:after="0"/>
            </w:pPr>
          </w:p>
        </w:tc>
        <w:tc>
          <w:tcPr>
            <w:tcW w:type="dxa" w:w="3770"/>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3770"/>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r>
      <w:tr>
        <w:trPr>
          <w:cantSplit w:val="true"/>
          <w:trHeight w:val="461"/>
        </w:trPr>
        <w:tc>
          <w:tcPr>
            <w:tcW w:type="dxa" w:w="1256"/>
          </w:tcPr>
          <w:p>
            <w:pPr>
              <w:keepNext/>
              <w:spacing w:after="0"/>
            </w:pPr>
          </w:p>
        </w:tc>
        <w:tc>
          <w:tcPr>
            <w:tcW w:type="dxa" w:w="3770"/>
          </w:tcPr>
          <w:p>
            <w:pPr>
              <w:keepNext/>
              <w:spacing w:after="0"/>
            </w:pPr>
          </w:p>
        </w:tc>
        <w:tc>
          <w:tcPr>
            <w:tcW w:type="dxa" w:w="2513"/>
          </w:tcPr>
          <w:p>
            <w:pPr>
              <w:keepNext/>
              <w:spacing w:after="0"/>
            </w:pPr>
          </w:p>
        </w:tc>
        <w:tc>
          <w:tcPr>
            <w:tcW w:type="dxa" w:w="3770"/>
          </w:tcPr>
          <w:p>
            <w:pPr>
              <w:keepNext/>
              <w:spacing w:after="0"/>
            </w:pPr>
          </w:p>
        </w:tc>
        <w:tc>
          <w:tcPr>
            <w:tcW w:type="dxa" w:w="2513"/>
          </w:tcPr>
          <w:p>
            <w:pPr>
              <w:keepNext/>
              <w:spacing w:after="0"/>
            </w:pPr>
          </w:p>
        </w:tc>
      </w:tr>
      <w:tr>
        <w:trPr>
          <w:cantSplit w:val="true"/>
          <w:trHeight w:val="461"/>
        </w:trPr>
        <w:tc>
          <w:tcPr>
            <w:tcW w:type="dxa" w:w="1256"/>
          </w:tcPr>
          <w:p>
            <w:pPr>
              <w:spacing w:after="0"/>
            </w:pPr>
          </w:p>
        </w:tc>
        <w:tc>
          <w:tcPr>
            <w:tcW w:type="dxa" w:w="3770"/>
          </w:tcPr>
          <w:p>
            <w:pPr>
              <w:spacing w:after="0"/>
            </w:pPr>
          </w:p>
        </w:tc>
        <w:tc>
          <w:tcPr>
            <w:tcW w:type="dxa" w:w="2513"/>
          </w:tcPr>
          <w:p>
            <w:pPr>
              <w:spacing w:after="0"/>
            </w:pPr>
          </w:p>
        </w:tc>
        <w:tc>
          <w:tcPr>
            <w:tcW w:type="dxa" w:w="3770"/>
          </w:tcPr>
          <w:p>
            <w:pPr>
              <w:spacing w:after="0"/>
            </w:pPr>
          </w:p>
        </w:tc>
        <w:tc>
          <w:tcPr>
            <w:tcW w:type="dxa" w:w="2513"/>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Site Director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Quality Lead</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F-705-01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F-705-01 Business Continuity Plan and Emergency Contacts</w:t>
          </w:r>
        </w:p>
      </w:tc>
      <w:tc>
        <w:tcPr>
          <w:tcW w:type="dxa" w:w="4147"/>
        </w:tcPr>
        <w:p>
          <w:pPr>
            <w:jc w:val="right"/>
          </w:pPr>
          <w:r>
            <w:rPr>
              <w:b w:val="0"/>
              <w:color w:val="404040"/>
              <w:sz w:val="17"/>
            </w:rPr>
            <w:t>Ref: SOP-16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F-705-01 Business Continuity Plan and Emergency Contacts</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