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CAPA Log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Register of every CAPA the site opens, used to track due dates, overdue actions and effectiveness checks, and for the quarterly quality review.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The Quality Lead adds a line the day a CAPA is opened on F-703-01 and keeps one log for the site (not per study).</w:t>
      </w:r>
    </w:p>
    <w:p>
      <w:pPr>
        <w:pStyle w:val="ListBullet"/>
        <w:spacing w:after="0"/>
      </w:pPr>
      <w:r>
        <w:rPr>
          <w:b w:val="0"/>
          <w:sz w:val="18"/>
        </w:rPr>
        <w:t>Follow up each action on its due date and update the status (SOP-08 5.9.1). Escalate overdue CAPAs to the Site Director, or to the PI or independent reviewer where the Site Director is also the Quality Lead (SOP-08 5.9.4).</w:t>
      </w:r>
    </w:p>
    <w:p>
      <w:pPr>
        <w:pStyle w:val="ListBullet"/>
        <w:spacing w:after="0"/>
      </w:pPr>
      <w:r>
        <w:rPr>
          <w:b w:val="0"/>
          <w:sz w:val="18"/>
        </w:rPr>
        <w:t>Status: open, overdue, extended (new date on F-703-01), effectiveness check pending, failed check (analysis reopened), closed.</w:t>
      </w:r>
    </w:p>
    <w:p>
      <w:pPr>
        <w:pStyle w:val="ListBullet"/>
        <w:spacing w:after="0"/>
      </w:pPr>
      <w:r>
        <w:rPr>
          <w:b w:val="0"/>
          <w:sz w:val="18"/>
        </w:rPr>
        <w:t>Root cause category supports trending (for example training gap, workload, unclear sponsor instruction, process or SOP, system). The Quality Lead reviews this log at the quarterly quality review; repeated root causes open a site-level CAPA (SOP-08 5.10.1).</w:t>
      </w:r>
    </w:p>
    <w:p>
      <w:pPr>
        <w:pStyle w:val="ListBullet"/>
        <w:spacing w:after="0"/>
      </w:pPr>
      <w:r>
        <w:rPr>
          <w:b w:val="0"/>
          <w:sz w:val="18"/>
        </w:rPr>
        <w:t>Close a line only when the F-703-01 record is closed and signed.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 name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Log period (from / to)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21"/>
        <w:gridCol w:w="921"/>
        <w:gridCol w:w="1843"/>
        <w:gridCol w:w="921"/>
        <w:gridCol w:w="1843"/>
        <w:gridCol w:w="1843"/>
        <w:gridCol w:w="921"/>
        <w:gridCol w:w="1843"/>
        <w:gridCol w:w="921"/>
        <w:gridCol w:w="1843"/>
      </w:tblGrid>
      <w:tr>
        <w:trPr>
          <w:tblHeader w:val="true"/>
        </w:trPr>
        <w:tc>
          <w:tcPr>
            <w:tcW w:type="dxa" w:w="921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CAPA no.</w:t>
            </w:r>
          </w:p>
        </w:tc>
        <w:tc>
          <w:tcPr>
            <w:tcW w:type="dxa" w:w="921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opened</w:t>
            </w:r>
          </w:p>
        </w:tc>
        <w:tc>
          <w:tcPr>
            <w:tcW w:type="dxa" w:w="184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Source and reference</w:t>
            </w:r>
          </w:p>
        </w:tc>
        <w:tc>
          <w:tcPr>
            <w:tcW w:type="dxa" w:w="921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Severity</w:t>
            </w:r>
          </w:p>
        </w:tc>
        <w:tc>
          <w:tcPr>
            <w:tcW w:type="dxa" w:w="184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Short description</w:t>
            </w:r>
          </w:p>
        </w:tc>
        <w:tc>
          <w:tcPr>
            <w:tcW w:type="dxa" w:w="184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Root cause category</w:t>
            </w:r>
          </w:p>
        </w:tc>
        <w:tc>
          <w:tcPr>
            <w:tcW w:type="dxa" w:w="921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Owner</w:t>
            </w:r>
          </w:p>
        </w:tc>
        <w:tc>
          <w:tcPr>
            <w:tcW w:type="dxa" w:w="184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Due date; new date if extended</w:t>
            </w:r>
          </w:p>
        </w:tc>
        <w:tc>
          <w:tcPr>
            <w:tcW w:type="dxa" w:w="921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Status</w:t>
            </w:r>
          </w:p>
        </w:tc>
        <w:tc>
          <w:tcPr>
            <w:tcW w:type="dxa" w:w="184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Effectiveness check (due, result) and date closed</w:t>
            </w: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F-703-02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F-703-02 CAPA Log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SOP-08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F-703-02 CAPA Log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