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Annual Audit Plan and Audit Report</w:t>
      </w:r>
    </w:p>
    <w:p>
      <w:r>
        <w:rPr>
          <w:b/>
          <w:sz w:val="18"/>
        </w:rPr>
        <w:t xml:space="preserve">Purpose: </w:t>
      </w:r>
      <w:r>
        <w:rPr>
          <w:b w:val="0"/>
          <w:sz w:val="18"/>
        </w:rPr>
        <w:t>Sets the year's internal audit plan, records the scope, findings and responses for each audit, and records the annual management review.</w:t>
      </w:r>
    </w:p>
    <w:p>
      <w:pPr>
        <w:spacing w:after="0"/>
      </w:pPr>
      <w:r>
        <w:rPr>
          <w:b/>
          <w:sz w:val="18"/>
        </w:rPr>
        <w:t>Instructions</w:t>
      </w:r>
    </w:p>
    <w:p>
      <w:pPr>
        <w:pStyle w:val="ListBullet"/>
        <w:spacing w:after="0"/>
      </w:pPr>
      <w:r>
        <w:rPr>
          <w:b w:val="0"/>
          <w:sz w:val="18"/>
        </w:rPr>
        <w:t xml:space="preserve">By </w:t>
      </w:r>
      <w:r>
        <w:rPr>
          <w:b w:val="0"/>
          <w:sz w:val="18"/>
          <w:highlight w:val="yellow"/>
        </w:rPr>
        <w:t>[MONTH]</w:t>
      </w:r>
      <w:r>
        <w:rPr>
          <w:b w:val="0"/>
          <w:sz w:val="18"/>
        </w:rPr>
        <w:t xml:space="preserve"> each year the Quality Lead completes Part 1: one internal audit per year, alternating a study audit and a process audit, selected by risk (SOP-14 5.7.2). Where the site billed insurance for study items that year, include a sample of </w:t>
      </w:r>
      <w:r>
        <w:rPr>
          <w:b w:val="0"/>
          <w:sz w:val="18"/>
          <w:highlight w:val="green"/>
        </w:rPr>
        <w:t>[DEFAULT: 10 research claims or 10%, whichever is greater]</w:t>
      </w:r>
      <w:r>
        <w:rPr>
          <w:b w:val="0"/>
          <w:sz w:val="18"/>
        </w:rPr>
        <w:t xml:space="preserve"> (SOP-M2 5.9.12). The Site Director approves the plan, or the independent reviewer where the Site Director is also the Quality Lead (SOP-14 5.7.1).</w:t>
      </w:r>
    </w:p>
    <w:p>
      <w:pPr>
        <w:pStyle w:val="ListBullet"/>
        <w:spacing w:after="0"/>
      </w:pPr>
      <w:r>
        <w:rPr>
          <w:b w:val="0"/>
          <w:sz w:val="18"/>
        </w:rPr>
        <w:t xml:space="preserve">The audit is done by the independent reviewer or an external auditor (SOP-14 5.7.3), who gives the PI or process owner at least </w:t>
      </w:r>
      <w:r>
        <w:rPr>
          <w:b w:val="0"/>
          <w:sz w:val="18"/>
          <w:highlight w:val="green"/>
        </w:rPr>
        <w:t>[DEFAULT: 10 business days]</w:t>
      </w:r>
      <w:r>
        <w:rPr>
          <w:b w:val="0"/>
          <w:sz w:val="18"/>
        </w:rPr>
        <w:t xml:space="preserve"> notice; for-cause audits may be unannounced with Site Director approval (SOP-14 5.7.4, 5.7.5).</w:t>
      </w:r>
    </w:p>
    <w:p>
      <w:pPr>
        <w:pStyle w:val="ListBullet"/>
        <w:spacing w:after="0"/>
      </w:pPr>
      <w:r>
        <w:rPr>
          <w:b w:val="0"/>
          <w:sz w:val="18"/>
        </w:rPr>
        <w:t xml:space="preserve">The auditor issues Part 2 within </w:t>
      </w:r>
      <w:r>
        <w:rPr>
          <w:b w:val="0"/>
          <w:sz w:val="18"/>
          <w:highlight w:val="green"/>
        </w:rPr>
        <w:t>[DEFAULT: 15 business days]</w:t>
      </w:r>
      <w:r>
        <w:rPr>
          <w:b w:val="0"/>
          <w:sz w:val="18"/>
        </w:rPr>
        <w:t xml:space="preserve">. The PI or process owner responds within </w:t>
      </w:r>
      <w:r>
        <w:rPr>
          <w:b w:val="0"/>
          <w:sz w:val="18"/>
          <w:highlight w:val="green"/>
        </w:rPr>
        <w:t>[DEFAULT: 30 calendar days]</w:t>
      </w:r>
      <w:r>
        <w:rPr>
          <w:b w:val="0"/>
          <w:sz w:val="18"/>
        </w:rPr>
        <w:t xml:space="preserve"> with a correction for each finding and a CAPA for each major and critical finding (SOP-14 5.7.5, 5.7.6).</w:t>
      </w:r>
    </w:p>
    <w:p>
      <w:pPr>
        <w:pStyle w:val="ListBullet"/>
        <w:spacing w:after="0"/>
      </w:pPr>
      <w:r>
        <w:rPr>
          <w:b w:val="0"/>
          <w:sz w:val="18"/>
        </w:rPr>
        <w:t>Audit reports are internal QA records. Confirm to sponsors or inspectors that an audit took place without routinely sharing the report (SOP-14 5.7.7). Findings that are deviations also go on F-308-01.</w:t>
      </w:r>
    </w:p>
    <w:p>
      <w:pPr>
        <w:pStyle w:val="ListBullet"/>
        <w:spacing w:after="0"/>
      </w:pPr>
      <w:r>
        <w:rPr>
          <w:b w:val="0"/>
          <w:sz w:val="18"/>
        </w:rPr>
        <w:t>Record the management review in Part 3, or attach minutes signed by the Site Director (or the PI or independent reviewer where the Site Director is also the Quality Lead), and file it with the year's plan (SOP-14 5.8.4).</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Plan year</w:t>
            </w:r>
          </w:p>
        </w:tc>
        <w:tc>
          <w:tcPr>
            <w:tcW w:type="dxa" w:w="2447"/>
          </w:tcPr>
          <w:p/>
        </w:tc>
        <w:tc>
          <w:tcPr>
            <w:tcW w:type="dxa" w:w="2160"/>
            <w:shd w:val="clear" w:color="auto" w:fill="D9E2F3"/>
          </w:tcPr>
          <w:p>
            <w:pPr>
              <w:spacing w:after="0"/>
            </w:pPr>
            <w:r>
              <w:rPr>
                <w:b/>
                <w:sz w:val="17"/>
              </w:rPr>
              <w:t>Prepared by (Quality Lead)</w:t>
            </w:r>
          </w:p>
        </w:tc>
        <w:tc>
          <w:tcPr>
            <w:tcW w:type="dxa" w:w="2447"/>
          </w:tcPr>
          <w:p/>
        </w:tc>
        <w:tc>
          <w:tcPr>
            <w:tcW w:type="dxa" w:w="2160"/>
            <w:shd w:val="clear" w:color="auto" w:fill="D9E2F3"/>
          </w:tcPr>
          <w:p>
            <w:pPr>
              <w:spacing w:after="0"/>
            </w:pPr>
            <w:r>
              <w:rPr>
                <w:b/>
                <w:sz w:val="17"/>
              </w:rPr>
              <w:t>Approved by (Site Director or independent reviewer), date</w:t>
            </w:r>
          </w:p>
        </w:tc>
        <w:tc>
          <w:tcPr>
            <w:tcW w:type="dxa" w:w="2447"/>
          </w:tcPr>
          <w:p/>
        </w:tc>
      </w:tr>
    </w:tbl>
    <w:p>
      <w:pPr>
        <w:spacing w:after="0"/>
      </w:pPr>
    </w:p>
    <w:p>
      <w:pPr>
        <w:pStyle w:val="Heading2"/>
      </w:pPr>
      <w:r>
        <w:t>Part 1. Audit plan</w:t>
      </w:r>
    </w:p>
    <w:tbl>
      <w:tblPr>
        <w:tblStyle w:val="TableGrid"/>
        <w:tblW w:type="auto" w:w="0"/>
        <w:jc w:val="left"/>
        <w:tblLayout w:type="fixed"/>
        <w:tblLook w:firstColumn="1" w:firstRow="1" w:lastColumn="0" w:lastRow="0" w:noHBand="0" w:noVBand="1" w:val="04A0"/>
      </w:tblPr>
      <w:tblGrid>
        <w:gridCol w:w="3190"/>
        <w:gridCol w:w="2126"/>
        <w:gridCol w:w="3190"/>
        <w:gridCol w:w="1063"/>
        <w:gridCol w:w="2126"/>
        <w:gridCol w:w="1063"/>
        <w:gridCol w:w="1063"/>
      </w:tblGrid>
      <w:tr>
        <w:trPr>
          <w:tblHeader w:val="true"/>
        </w:trPr>
        <w:tc>
          <w:tcPr>
            <w:tcW w:type="dxa" w:w="3190"/>
            <w:shd w:val="clear" w:color="auto" w:fill="D9E2F3"/>
          </w:tcPr>
          <w:p>
            <w:pPr>
              <w:keepNext/>
              <w:spacing w:after="0"/>
            </w:pPr>
            <w:r>
              <w:rPr>
                <w:b/>
                <w:sz w:val="17"/>
              </w:rPr>
              <w:t>Audit area or study</w:t>
            </w:r>
          </w:p>
        </w:tc>
        <w:tc>
          <w:tcPr>
            <w:tcW w:type="dxa" w:w="2126"/>
            <w:shd w:val="clear" w:color="auto" w:fill="D9E2F3"/>
          </w:tcPr>
          <w:p>
            <w:pPr>
              <w:keepNext/>
              <w:spacing w:after="0"/>
            </w:pPr>
            <w:r>
              <w:rPr>
                <w:b/>
                <w:sz w:val="17"/>
              </w:rPr>
              <w:t>Type (study, process, research claims sample, for cause)</w:t>
            </w:r>
          </w:p>
        </w:tc>
        <w:tc>
          <w:tcPr>
            <w:tcW w:type="dxa" w:w="3190"/>
            <w:shd w:val="clear" w:color="auto" w:fill="D9E2F3"/>
          </w:tcPr>
          <w:p>
            <w:pPr>
              <w:keepNext/>
              <w:spacing w:after="0"/>
            </w:pPr>
            <w:r>
              <w:rPr>
                <w:b/>
                <w:sz w:val="17"/>
              </w:rPr>
              <w:t>Reason for selection (risk) or for-cause trigger</w:t>
            </w:r>
          </w:p>
        </w:tc>
        <w:tc>
          <w:tcPr>
            <w:tcW w:type="dxa" w:w="1063"/>
            <w:shd w:val="clear" w:color="auto" w:fill="D9E2F3"/>
          </w:tcPr>
          <w:p>
            <w:pPr>
              <w:keepNext/>
              <w:spacing w:after="0"/>
            </w:pPr>
            <w:r>
              <w:rPr>
                <w:b/>
                <w:sz w:val="17"/>
              </w:rPr>
              <w:t>Planned quarter</w:t>
            </w:r>
          </w:p>
        </w:tc>
        <w:tc>
          <w:tcPr>
            <w:tcW w:type="dxa" w:w="2126"/>
            <w:shd w:val="clear" w:color="auto" w:fill="D9E2F3"/>
          </w:tcPr>
          <w:p>
            <w:pPr>
              <w:keepNext/>
              <w:spacing w:after="0"/>
            </w:pPr>
            <w:r>
              <w:rPr>
                <w:b/>
                <w:sz w:val="17"/>
              </w:rPr>
              <w:t>Auditor (independent reviewer or external)</w:t>
            </w:r>
          </w:p>
        </w:tc>
        <w:tc>
          <w:tcPr>
            <w:tcW w:type="dxa" w:w="1063"/>
            <w:shd w:val="clear" w:color="auto" w:fill="D9E2F3"/>
          </w:tcPr>
          <w:p>
            <w:pPr>
              <w:keepNext/>
              <w:spacing w:after="0"/>
            </w:pPr>
            <w:r>
              <w:rPr>
                <w:b/>
                <w:sz w:val="17"/>
              </w:rPr>
              <w:t>Status</w:t>
            </w:r>
          </w:p>
        </w:tc>
        <w:tc>
          <w:tcPr>
            <w:tcW w:type="dxa" w:w="1063"/>
            <w:shd w:val="clear" w:color="auto" w:fill="D9E2F3"/>
          </w:tcPr>
          <w:p>
            <w:pPr>
              <w:keepNext/>
              <w:spacing w:after="0"/>
            </w:pPr>
            <w:r>
              <w:rPr>
                <w:b/>
                <w:sz w:val="17"/>
              </w:rPr>
              <w:t>Report date</w:t>
            </w:r>
          </w:p>
        </w:tc>
      </w:tr>
      <w:tr>
        <w:trPr>
          <w:cantSplit w:val="true"/>
          <w:trHeight w:val="461"/>
        </w:trPr>
        <w:tc>
          <w:tcPr>
            <w:tcW w:type="dxa" w:w="3190"/>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3190"/>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3190"/>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3190"/>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3190"/>
          </w:tcPr>
          <w:p>
            <w:pPr>
              <w:keepNext/>
              <w:spacing w:after="0"/>
            </w:pPr>
          </w:p>
        </w:tc>
        <w:tc>
          <w:tcPr>
            <w:tcW w:type="dxa" w:w="2126"/>
          </w:tcPr>
          <w:p>
            <w:pPr>
              <w:keepNext/>
              <w:spacing w:after="0"/>
            </w:pPr>
          </w:p>
        </w:tc>
        <w:tc>
          <w:tcPr>
            <w:tcW w:type="dxa" w:w="3190"/>
          </w:tcPr>
          <w:p>
            <w:pPr>
              <w:keepNext/>
              <w:spacing w:after="0"/>
            </w:pPr>
          </w:p>
        </w:tc>
        <w:tc>
          <w:tcPr>
            <w:tcW w:type="dxa" w:w="1063"/>
          </w:tcPr>
          <w:p>
            <w:pPr>
              <w:keepNext/>
              <w:spacing w:after="0"/>
            </w:pPr>
          </w:p>
        </w:tc>
        <w:tc>
          <w:tcPr>
            <w:tcW w:type="dxa" w:w="2126"/>
          </w:tcPr>
          <w:p>
            <w:pPr>
              <w:keepNext/>
              <w:spacing w:after="0"/>
            </w:pPr>
          </w:p>
        </w:tc>
        <w:tc>
          <w:tcPr>
            <w:tcW w:type="dxa" w:w="1063"/>
          </w:tcPr>
          <w:p>
            <w:pPr>
              <w:keepNext/>
              <w:spacing w:after="0"/>
            </w:pPr>
          </w:p>
        </w:tc>
        <w:tc>
          <w:tcPr>
            <w:tcW w:type="dxa" w:w="1063"/>
          </w:tcPr>
          <w:p>
            <w:pPr>
              <w:keepNext/>
              <w:spacing w:after="0"/>
            </w:pPr>
          </w:p>
        </w:tc>
      </w:tr>
      <w:tr>
        <w:trPr>
          <w:cantSplit w:val="true"/>
          <w:trHeight w:val="461"/>
        </w:trPr>
        <w:tc>
          <w:tcPr>
            <w:tcW w:type="dxa" w:w="3190"/>
          </w:tcPr>
          <w:p>
            <w:pPr>
              <w:spacing w:after="0"/>
            </w:pPr>
          </w:p>
        </w:tc>
        <w:tc>
          <w:tcPr>
            <w:tcW w:type="dxa" w:w="2126"/>
          </w:tcPr>
          <w:p>
            <w:pPr>
              <w:spacing w:after="0"/>
            </w:pPr>
          </w:p>
        </w:tc>
        <w:tc>
          <w:tcPr>
            <w:tcW w:type="dxa" w:w="3190"/>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r>
    </w:tbl>
    <w:p>
      <w:pPr>
        <w:spacing w:after="40"/>
      </w:pPr>
    </w:p>
    <w:p>
      <w:pPr>
        <w:pStyle w:val="Heading2"/>
      </w:pPr>
      <w:r>
        <w:t>Part 2. Audit report</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Audit number</w:t>
            </w:r>
          </w:p>
        </w:tc>
        <w:tc>
          <w:tcPr>
            <w:tcW w:type="dxa" w:w="2447"/>
          </w:tcPr>
          <w:p/>
        </w:tc>
        <w:tc>
          <w:tcPr>
            <w:tcW w:type="dxa" w:w="2160"/>
            <w:shd w:val="clear" w:color="auto" w:fill="D9E2F3"/>
          </w:tcPr>
          <w:p>
            <w:pPr>
              <w:spacing w:after="0"/>
            </w:pPr>
            <w:r>
              <w:rPr>
                <w:b/>
                <w:sz w:val="17"/>
              </w:rPr>
              <w:t>Audit type</w:t>
            </w:r>
          </w:p>
        </w:tc>
        <w:tc>
          <w:tcPr>
            <w:tcW w:type="dxa" w:w="2447"/>
          </w:tcPr>
          <w:p/>
        </w:tc>
        <w:tc>
          <w:tcPr>
            <w:tcW w:type="dxa" w:w="2160"/>
            <w:shd w:val="clear" w:color="auto" w:fill="D9E2F3"/>
          </w:tcPr>
          <w:p>
            <w:pPr>
              <w:spacing w:after="0"/>
            </w:pPr>
            <w:r>
              <w:rPr>
                <w:b/>
                <w:sz w:val="17"/>
              </w:rPr>
              <w:t>Scope</w:t>
            </w:r>
          </w:p>
        </w:tc>
        <w:tc>
          <w:tcPr>
            <w:tcW w:type="dxa" w:w="2447"/>
          </w:tcPr>
          <w:p/>
        </w:tc>
      </w:tr>
      <w:tr>
        <w:trPr>
          <w:trHeight w:val="432"/>
        </w:trPr>
        <w:tc>
          <w:tcPr>
            <w:tcW w:type="dxa" w:w="2160"/>
            <w:shd w:val="clear" w:color="auto" w:fill="D9E2F3"/>
          </w:tcPr>
          <w:p>
            <w:pPr>
              <w:spacing w:after="0"/>
            </w:pPr>
            <w:r>
              <w:rPr>
                <w:b/>
                <w:sz w:val="17"/>
              </w:rPr>
              <w:t>Auditor</w:t>
            </w:r>
          </w:p>
        </w:tc>
        <w:tc>
          <w:tcPr>
            <w:tcW w:type="dxa" w:w="2447"/>
          </w:tcPr>
          <w:p/>
        </w:tc>
        <w:tc>
          <w:tcPr>
            <w:tcW w:type="dxa" w:w="2160"/>
            <w:shd w:val="clear" w:color="auto" w:fill="D9E2F3"/>
          </w:tcPr>
          <w:p>
            <w:pPr>
              <w:spacing w:after="0"/>
            </w:pPr>
            <w:r>
              <w:rPr>
                <w:b/>
                <w:sz w:val="17"/>
              </w:rPr>
              <w:t>Notice sent (date)</w:t>
            </w:r>
          </w:p>
        </w:tc>
        <w:tc>
          <w:tcPr>
            <w:tcW w:type="dxa" w:w="2447"/>
          </w:tcPr>
          <w:p/>
        </w:tc>
        <w:tc>
          <w:tcPr>
            <w:tcW w:type="dxa" w:w="2160"/>
            <w:shd w:val="clear" w:color="auto" w:fill="D9E2F3"/>
          </w:tcPr>
          <w:p>
            <w:pPr>
              <w:spacing w:after="0"/>
            </w:pPr>
            <w:r>
              <w:rPr>
                <w:b/>
                <w:sz w:val="17"/>
              </w:rPr>
              <w:t>Audit dates</w:t>
            </w:r>
          </w:p>
        </w:tc>
        <w:tc>
          <w:tcPr>
            <w:tcW w:type="dxa" w:w="2447"/>
          </w:tcPr>
          <w:p/>
        </w:tc>
      </w:tr>
      <w:tr>
        <w:trPr>
          <w:trHeight w:val="432"/>
        </w:trPr>
        <w:tc>
          <w:tcPr>
            <w:tcW w:type="dxa" w:w="2160"/>
            <w:shd w:val="clear" w:color="auto" w:fill="D9E2F3"/>
          </w:tcPr>
          <w:p>
            <w:pPr>
              <w:spacing w:after="0"/>
            </w:pPr>
            <w:r>
              <w:rPr>
                <w:b/>
                <w:sz w:val="17"/>
              </w:rPr>
              <w:t>Closing meeting date</w:t>
            </w:r>
          </w:p>
        </w:tc>
        <w:tc>
          <w:tcPr>
            <w:tcW w:type="dxa" w:w="2447"/>
          </w:tcPr>
          <w:p/>
        </w:tc>
        <w:tc>
          <w:tcPr>
            <w:tcW w:type="dxa" w:w="2160"/>
            <w:shd w:val="clear" w:color="auto" w:fill="D9E2F3"/>
          </w:tcPr>
          <w:p>
            <w:pPr>
              <w:spacing w:after="0"/>
            </w:pPr>
            <w:r>
              <w:rPr>
                <w:b/>
                <w:sz w:val="17"/>
              </w:rPr>
              <w:t>Persons interviewed</w:t>
            </w:r>
          </w:p>
        </w:tc>
        <w:tc>
          <w:tcPr>
            <w:tcW w:type="dxa" w:w="2447"/>
          </w:tcPr>
          <w:p/>
        </w:tc>
        <w:tc>
          <w:tcPr>
            <w:tcW w:type="dxa" w:w="2160"/>
            <w:shd w:val="clear" w:color="auto" w:fill="D9E2F3"/>
          </w:tcPr>
          <w:p>
            <w:pPr>
              <w:spacing w:after="0"/>
            </w:pPr>
            <w:r>
              <w:rPr>
                <w:b/>
                <w:sz w:val="17"/>
              </w:rPr>
              <w:t>Records reviewed and sample method</w:t>
            </w:r>
          </w:p>
        </w:tc>
        <w:tc>
          <w:tcPr>
            <w:tcW w:type="dxa" w:w="2447"/>
          </w:tcPr>
          <w:p/>
        </w:tc>
      </w:tr>
      <w:tr>
        <w:trPr>
          <w:trHeight w:val="432"/>
        </w:trPr>
        <w:tc>
          <w:tcPr>
            <w:tcW w:type="dxa" w:w="2160"/>
            <w:shd w:val="clear" w:color="auto" w:fill="D9E2F3"/>
          </w:tcPr>
          <w:p>
            <w:pPr>
              <w:spacing w:after="0"/>
            </w:pPr>
            <w:r>
              <w:rPr>
                <w:b/>
                <w:sz w:val="17"/>
              </w:rPr>
              <w:t>Clinician review of owner-PI decisions (where SOP-02 5.2.3 requires)</w:t>
            </w:r>
          </w:p>
        </w:tc>
        <w:tc>
          <w:tcPr>
            <w:tcW w:type="dxa" w:w="2447"/>
          </w:tcPr>
          <w:p/>
        </w:tc>
        <w:tc>
          <w:tcPr>
            <w:tcW w:type="dxa" w:w="2160"/>
            <w:shd w:val="clear" w:color="auto" w:fill="D9E2F3"/>
          </w:tcPr>
          <w:p>
            <w:pPr>
              <w:spacing w:after="0"/>
            </w:pPr>
            <w:r>
              <w:rPr>
                <w:b/>
                <w:sz w:val="17"/>
              </w:rPr>
              <w:t>Report issued (date)</w:t>
            </w:r>
          </w:p>
        </w:tc>
        <w:tc>
          <w:tcPr>
            <w:tcW w:type="dxa" w:w="2447"/>
          </w:tcPr>
          <w:p/>
        </w:tc>
        <w:tc>
          <w:tcPr>
            <w:tcW w:type="dxa" w:w="2160"/>
            <w:shd w:val="clear" w:color="auto" w:fill="D9E2F3"/>
          </w:tcPr>
          <w:p>
            <w:pPr>
              <w:spacing w:after="0"/>
            </w:pPr>
            <w:r>
              <w:rPr>
                <w:b/>
                <w:sz w:val="17"/>
              </w:rPr>
              <w:t>Response due (date)</w:t>
            </w:r>
          </w:p>
        </w:tc>
        <w:tc>
          <w:tcPr>
            <w:tcW w:type="dxa" w:w="2447"/>
          </w:tcPr>
          <w:p/>
        </w:tc>
      </w:tr>
      <w:tr>
        <w:trPr>
          <w:trHeight w:val="432"/>
        </w:trPr>
        <w:tc>
          <w:tcPr>
            <w:tcW w:type="dxa" w:w="2160"/>
            <w:shd w:val="clear" w:color="auto" w:fill="D9E2F3"/>
          </w:tcPr>
          <w:p>
            <w:pPr>
              <w:spacing w:after="0"/>
            </w:pPr>
            <w:r>
              <w:rPr>
                <w:b/>
                <w:sz w:val="17"/>
              </w:rPr>
              <w:t>Response received (date)</w:t>
            </w:r>
          </w:p>
        </w:tc>
        <w:tc>
          <w:tcPr>
            <w:tcW w:type="dxa" w:w="2447"/>
          </w:tcPr>
          <w:p/>
        </w:tc>
        <w:tc>
          <w:tcPr>
            <w:tcW w:type="dxa" w:w="2160"/>
            <w:shd w:val="clear" w:color="auto" w:fill="D9E2F3"/>
          </w:tcPr>
          <w:p>
            <w:pPr>
              <w:spacing w:after="0"/>
            </w:pPr>
            <w:r>
              <w:rPr>
                <w:b/>
                <w:sz w:val="17"/>
              </w:rPr>
              <w:t>Confirmation of audit given to sponsor (date, if requested)</w:t>
            </w:r>
          </w:p>
        </w:tc>
        <w:tc>
          <w:tcPr>
            <w:tcW w:type="dxa" w:w="2447"/>
          </w:tcPr>
          <w:p/>
        </w:tc>
        <w:tc>
          <w:tcPr>
            <w:tcW w:type="dxa" w:w="2160"/>
          </w:tcPr>
          <w:p/>
        </w:tc>
        <w:tc>
          <w:tcPr>
            <w:tcW w:type="dxa" w:w="2447"/>
          </w:tcPr>
          <w:p/>
        </w:tc>
      </w:tr>
    </w:tbl>
    <w:p>
      <w:pPr>
        <w:spacing w:after="0"/>
      </w:pPr>
    </w:p>
    <w:p>
      <w:pPr>
        <w:pStyle w:val="Heading2"/>
      </w:pPr>
      <w:r>
        <w:t>Findings</w:t>
      </w:r>
    </w:p>
    <w:tbl>
      <w:tblPr>
        <w:tblStyle w:val="TableGrid"/>
        <w:tblW w:type="auto" w:w="0"/>
        <w:jc w:val="left"/>
        <w:tblLayout w:type="fixed"/>
        <w:tblLook w:firstColumn="1" w:firstRow="1" w:lastColumn="0" w:lastRow="0" w:noHBand="0" w:noVBand="1" w:val="04A0"/>
      </w:tblPr>
      <w:tblGrid>
        <w:gridCol w:w="1063"/>
        <w:gridCol w:w="2126"/>
        <w:gridCol w:w="4253"/>
        <w:gridCol w:w="1063"/>
        <w:gridCol w:w="2126"/>
        <w:gridCol w:w="1063"/>
        <w:gridCol w:w="1063"/>
        <w:gridCol w:w="1063"/>
      </w:tblGrid>
      <w:tr>
        <w:trPr>
          <w:tblHeader w:val="true"/>
        </w:trPr>
        <w:tc>
          <w:tcPr>
            <w:tcW w:type="dxa" w:w="1063"/>
            <w:shd w:val="clear" w:color="auto" w:fill="D9E2F3"/>
          </w:tcPr>
          <w:p>
            <w:pPr>
              <w:spacing w:after="0"/>
            </w:pPr>
            <w:r>
              <w:rPr>
                <w:b/>
                <w:sz w:val="17"/>
              </w:rPr>
              <w:t>Finding number</w:t>
            </w:r>
          </w:p>
        </w:tc>
        <w:tc>
          <w:tcPr>
            <w:tcW w:type="dxa" w:w="2126"/>
            <w:shd w:val="clear" w:color="auto" w:fill="D9E2F3"/>
          </w:tcPr>
          <w:p>
            <w:pPr>
              <w:spacing w:after="0"/>
            </w:pPr>
            <w:r>
              <w:rPr>
                <w:b/>
                <w:sz w:val="17"/>
              </w:rPr>
              <w:t>Requirement (SOP, regulation, protocol)</w:t>
            </w:r>
          </w:p>
        </w:tc>
        <w:tc>
          <w:tcPr>
            <w:tcW w:type="dxa" w:w="4253"/>
            <w:shd w:val="clear" w:color="auto" w:fill="D9E2F3"/>
          </w:tcPr>
          <w:p>
            <w:pPr>
              <w:spacing w:after="0"/>
            </w:pPr>
            <w:r>
              <w:rPr>
                <w:b/>
                <w:sz w:val="17"/>
              </w:rPr>
              <w:t>Finding and evidence (record, participant ID, date)</w:t>
            </w:r>
          </w:p>
        </w:tc>
        <w:tc>
          <w:tcPr>
            <w:tcW w:type="dxa" w:w="1063"/>
            <w:shd w:val="clear" w:color="auto" w:fill="D9E2F3"/>
          </w:tcPr>
          <w:p>
            <w:pPr>
              <w:spacing w:after="0"/>
            </w:pPr>
            <w:r>
              <w:rPr>
                <w:b/>
                <w:sz w:val="17"/>
              </w:rPr>
              <w:t>Grade (critical, major, minor)</w:t>
            </w:r>
          </w:p>
        </w:tc>
        <w:tc>
          <w:tcPr>
            <w:tcW w:type="dxa" w:w="2126"/>
            <w:shd w:val="clear" w:color="auto" w:fill="D9E2F3"/>
          </w:tcPr>
          <w:p>
            <w:pPr>
              <w:spacing w:after="0"/>
            </w:pPr>
            <w:r>
              <w:rPr>
                <w:b/>
                <w:sz w:val="17"/>
              </w:rPr>
              <w:t>Correction by PI or process owner</w:t>
            </w:r>
          </w:p>
        </w:tc>
        <w:tc>
          <w:tcPr>
            <w:tcW w:type="dxa" w:w="1063"/>
            <w:shd w:val="clear" w:color="auto" w:fill="D9E2F3"/>
          </w:tcPr>
          <w:p>
            <w:pPr>
              <w:spacing w:after="0"/>
            </w:pPr>
            <w:r>
              <w:rPr>
                <w:b/>
                <w:sz w:val="17"/>
              </w:rPr>
              <w:t>CAPA number</w:t>
            </w:r>
          </w:p>
        </w:tc>
        <w:tc>
          <w:tcPr>
            <w:tcW w:type="dxa" w:w="1063"/>
            <w:shd w:val="clear" w:color="auto" w:fill="D9E2F3"/>
          </w:tcPr>
          <w:p>
            <w:pPr>
              <w:spacing w:after="0"/>
            </w:pPr>
            <w:r>
              <w:rPr>
                <w:b/>
                <w:sz w:val="17"/>
              </w:rPr>
              <w:t>F-308-01 number (if deviation)</w:t>
            </w:r>
          </w:p>
        </w:tc>
        <w:tc>
          <w:tcPr>
            <w:tcW w:type="dxa" w:w="1063"/>
            <w:shd w:val="clear" w:color="auto" w:fill="D9E2F3"/>
          </w:tcPr>
          <w:p>
            <w:pPr>
              <w:spacing w:after="0"/>
            </w:pPr>
            <w:r>
              <w:rPr>
                <w:b/>
                <w:sz w:val="17"/>
              </w:rPr>
              <w:t>Closed (date)</w:t>
            </w: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2126"/>
          </w:tcPr>
          <w:p>
            <w:pPr>
              <w:spacing w:after="0"/>
            </w:pPr>
          </w:p>
        </w:tc>
        <w:tc>
          <w:tcPr>
            <w:tcW w:type="dxa" w:w="4253"/>
          </w:tcPr>
          <w:p>
            <w:pPr>
              <w:spacing w:after="0"/>
            </w:pPr>
          </w:p>
        </w:tc>
        <w:tc>
          <w:tcPr>
            <w:tcW w:type="dxa" w:w="1063"/>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r>
    </w:tbl>
    <w:p>
      <w:pPr>
        <w:spacing w:after="40"/>
      </w:pPr>
    </w:p>
    <w:p>
      <w:pPr>
        <w:spacing w:after="40"/>
      </w:pPr>
      <w:r>
        <w:rPr>
          <w:b w:val="0"/>
          <w:sz w:val="18"/>
        </w:rPr>
        <w:t>Observations, recommendations and overall conclusion:</w:t>
      </w:r>
    </w:p>
    <w:p>
      <w:pPr>
        <w:pBdr>
          <w:bottom w:val="single" w:sz="4" w:space="1" w:color="A6A6A6"/>
        </w:pBdr>
        <w:spacing w:after="160"/>
      </w:pPr>
    </w:p>
    <w:p>
      <w:pPr>
        <w:pBdr>
          <w:bottom w:val="single" w:sz="4" w:space="1" w:color="A6A6A6"/>
        </w:pBdr>
        <w:spacing w:after="160"/>
      </w:pPr>
    </w:p>
    <w:p>
      <w:pPr>
        <w:pBdr>
          <w:bottom w:val="single" w:sz="4" w:space="1" w:color="A6A6A6"/>
        </w:pBdr>
        <w:spacing w:after="160"/>
      </w:pPr>
    </w:p>
    <w:p>
      <w:pPr>
        <w:pStyle w:val="Heading2"/>
      </w:pPr>
      <w:r>
        <w:t>Report sign-off</w:t>
      </w: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Auditor</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keepNext/>
              <w:spacing w:after="0"/>
            </w:pPr>
            <w:r>
              <w:rPr>
                <w:b w:val="0"/>
                <w:sz w:val="17"/>
              </w:rPr>
              <w:t>PI or process owner (response)</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Quality Lead</w:t>
            </w:r>
          </w:p>
        </w:tc>
        <w:tc>
          <w:tcPr>
            <w:tcW w:type="dxa" w:w="3594"/>
          </w:tcPr>
          <w:p>
            <w:pPr>
              <w:spacing w:after="0"/>
            </w:pPr>
          </w:p>
        </w:tc>
        <w:tc>
          <w:tcPr>
            <w:tcW w:type="dxa" w:w="4147"/>
          </w:tcPr>
          <w:p>
            <w:pPr>
              <w:spacing w:after="0"/>
            </w:pPr>
          </w:p>
        </w:tc>
        <w:tc>
          <w:tcPr>
            <w:tcW w:type="dxa" w:w="2211"/>
          </w:tcPr>
          <w:p>
            <w:pPr>
              <w:spacing w:after="0"/>
            </w:pPr>
          </w:p>
        </w:tc>
      </w:tr>
    </w:tbl>
    <w:p>
      <w:pPr>
        <w:spacing w:after="40"/>
      </w:pPr>
    </w:p>
    <w:p>
      <w:pPr>
        <w:pStyle w:val="Heading2"/>
      </w:pPr>
      <w:r>
        <w:t>Part 3. Management review (SOP-14 5.8)</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Review date</w:t>
            </w:r>
          </w:p>
        </w:tc>
        <w:tc>
          <w:tcPr>
            <w:tcW w:type="dxa" w:w="2447"/>
          </w:tcPr>
          <w:p/>
        </w:tc>
        <w:tc>
          <w:tcPr>
            <w:tcW w:type="dxa" w:w="2160"/>
            <w:shd w:val="clear" w:color="auto" w:fill="D9E2F3"/>
          </w:tcPr>
          <w:p>
            <w:pPr>
              <w:spacing w:after="0"/>
            </w:pPr>
            <w:r>
              <w:rPr>
                <w:b/>
                <w:sz w:val="17"/>
              </w:rPr>
              <w:t>Attendees (Site Director, Quality Lead, PIs)</w:t>
            </w:r>
          </w:p>
        </w:tc>
        <w:tc>
          <w:tcPr>
            <w:tcW w:type="dxa" w:w="2447"/>
          </w:tcPr>
          <w:p/>
        </w:tc>
        <w:tc>
          <w:tcPr>
            <w:tcW w:type="dxa" w:w="2160"/>
            <w:shd w:val="clear" w:color="auto" w:fill="D9E2F3"/>
          </w:tcPr>
          <w:p>
            <w:pPr>
              <w:spacing w:after="0"/>
            </w:pPr>
            <w:r>
              <w:rPr>
                <w:b/>
                <w:sz w:val="17"/>
              </w:rPr>
              <w:t>Trigger (annual, combined with Q4 quality review, after a Form FDA 483, after a critical audit finding)</w:t>
            </w:r>
          </w:p>
        </w:tc>
        <w:tc>
          <w:tcPr>
            <w:tcW w:type="dxa" w:w="2447"/>
          </w:tcPr>
          <w:p/>
        </w:tc>
      </w:tr>
    </w:tbl>
    <w:p>
      <w:pPr>
        <w:spacing w:after="0"/>
      </w:pPr>
    </w:p>
    <w:p>
      <w:pPr>
        <w:pStyle w:val="Heading2"/>
      </w:pPr>
      <w:r>
        <w:t>Inputs reviewed</w:t>
      </w:r>
    </w:p>
    <w:tbl>
      <w:tblPr>
        <w:tblStyle w:val="TableGrid"/>
        <w:tblW w:type="auto" w:w="0"/>
        <w:jc w:val="left"/>
        <w:tblLayout w:type="fixed"/>
        <w:tblLook w:firstColumn="1" w:firstRow="1" w:lastColumn="0" w:lastRow="0" w:noHBand="0" w:noVBand="1" w:val="04A0"/>
      </w:tblPr>
      <w:tblGrid>
        <w:gridCol w:w="9072"/>
        <w:gridCol w:w="720"/>
        <w:gridCol w:w="720"/>
        <w:gridCol w:w="720"/>
        <w:gridCol w:w="2592"/>
      </w:tblGrid>
      <w:tr>
        <w:trPr>
          <w:tblHeader w:val="true"/>
        </w:trPr>
        <w:tc>
          <w:tcPr>
            <w:tcW w:type="dxa" w:w="9072"/>
            <w:shd w:val="clear" w:color="auto" w:fill="D9E2F3"/>
          </w:tcPr>
          <w:p>
            <w:pPr>
              <w:spacing w:after="0"/>
            </w:pPr>
            <w:r>
              <w:rPr>
                <w:b/>
                <w:sz w:val="17"/>
              </w:rPr>
              <w:t>Item</w:t>
            </w:r>
          </w:p>
        </w:tc>
        <w:tc>
          <w:tcPr>
            <w:tcW w:type="dxa" w:w="720"/>
            <w:shd w:val="clear" w:color="auto" w:fill="D9E2F3"/>
          </w:tcPr>
          <w:p>
            <w:pPr>
              <w:spacing w:after="0"/>
            </w:pPr>
            <w:r>
              <w:rPr>
                <w:b/>
                <w:sz w:val="17"/>
              </w:rPr>
              <w:t>Yes</w:t>
            </w:r>
          </w:p>
        </w:tc>
        <w:tc>
          <w:tcPr>
            <w:tcW w:type="dxa" w:w="720"/>
            <w:shd w:val="clear" w:color="auto" w:fill="D9E2F3"/>
          </w:tcPr>
          <w:p>
            <w:pPr>
              <w:spacing w:after="0"/>
            </w:pPr>
            <w:r>
              <w:rPr>
                <w:b/>
                <w:sz w:val="17"/>
              </w:rPr>
              <w:t>No</w:t>
            </w:r>
          </w:p>
        </w:tc>
        <w:tc>
          <w:tcPr>
            <w:tcW w:type="dxa" w:w="720"/>
            <w:shd w:val="clear" w:color="auto" w:fill="D9E2F3"/>
          </w:tcPr>
          <w:p>
            <w:pPr>
              <w:spacing w:after="0"/>
            </w:pPr>
            <w:r>
              <w:rPr>
                <w:b/>
                <w:sz w:val="17"/>
              </w:rPr>
              <w:t>N/A</w:t>
            </w:r>
          </w:p>
        </w:tc>
        <w:tc>
          <w:tcPr>
            <w:tcW w:type="dxa" w:w="2592"/>
            <w:shd w:val="clear" w:color="auto" w:fill="D9E2F3"/>
          </w:tcPr>
          <w:p>
            <w:pPr>
              <w:spacing w:after="0"/>
            </w:pPr>
            <w:r>
              <w:rPr>
                <w:b/>
                <w:sz w:val="17"/>
              </w:rPr>
              <w:t>Comment</w:t>
            </w:r>
          </w:p>
        </w:tc>
      </w:tr>
      <w:tr>
        <w:trPr>
          <w:cantSplit w:val="true"/>
          <w:trHeight w:val="403"/>
        </w:trPr>
        <w:tc>
          <w:tcPr>
            <w:tcW w:type="dxa" w:w="9072"/>
          </w:tcPr>
          <w:p>
            <w:pPr>
              <w:spacing w:after="0"/>
            </w:pPr>
            <w:r>
              <w:rPr>
                <w:b w:val="0"/>
                <w:sz w:val="17"/>
              </w:rPr>
              <w:t>The four quarterly quality reviews</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Internal audit results</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Sponsor and IRB audits, FDA inspections and remote regulatory assessments (SOP-13)</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CAPA status and effectiveness (F-703-02)</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Integrity concerns in summary, reporters not identified (SOP-M5, if adopted)</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Business continuity test results (SOP-16)</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Staffing and workload</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r>
        <w:trPr>
          <w:cantSplit w:val="true"/>
          <w:trHeight w:val="403"/>
        </w:trPr>
        <w:tc>
          <w:tcPr>
            <w:tcW w:type="dxa" w:w="9072"/>
          </w:tcPr>
          <w:p>
            <w:pPr>
              <w:spacing w:after="0"/>
            </w:pPr>
            <w:r>
              <w:rPr>
                <w:b w:val="0"/>
                <w:sz w:val="17"/>
              </w:rPr>
              <w:t>Regulatory changes and SOP review status (SOP-01)</w:t>
            </w:r>
          </w:p>
        </w:tc>
        <w:tc>
          <w:tcPr>
            <w:tcW w:type="dxa" w:w="720"/>
          </w:tcPr>
          <w:p>
            <w:pPr>
              <w:spacing w:after="0"/>
            </w:pPr>
          </w:p>
        </w:tc>
        <w:tc>
          <w:tcPr>
            <w:tcW w:type="dxa" w:w="720"/>
          </w:tcPr>
          <w:p>
            <w:pPr>
              <w:spacing w:after="0"/>
            </w:pPr>
          </w:p>
        </w:tc>
        <w:tc>
          <w:tcPr>
            <w:tcW w:type="dxa" w:w="720"/>
          </w:tcPr>
          <w:p>
            <w:pPr>
              <w:spacing w:after="0"/>
            </w:pPr>
          </w:p>
        </w:tc>
        <w:tc>
          <w:tcPr>
            <w:tcW w:type="dxa" w:w="2592"/>
          </w:tcPr>
          <w:p>
            <w:pPr>
              <w:spacing w:after="0"/>
            </w:pPr>
          </w:p>
        </w:tc>
      </w:tr>
    </w:tbl>
    <w:p>
      <w:pPr>
        <w:spacing w:after="40"/>
      </w:pPr>
    </w:p>
    <w:p>
      <w:pPr>
        <w:pStyle w:val="Heading2"/>
      </w:pPr>
      <w:r>
        <w:t>Decisions and actions</w:t>
      </w:r>
    </w:p>
    <w:tbl>
      <w:tblPr>
        <w:tblStyle w:val="TableGrid"/>
        <w:tblW w:type="auto" w:w="0"/>
        <w:jc w:val="left"/>
        <w:tblLayout w:type="fixed"/>
        <w:tblLook w:firstColumn="1" w:firstRow="1" w:lastColumn="0" w:lastRow="0" w:noHBand="0" w:noVBand="1" w:val="04A0"/>
      </w:tblPr>
      <w:tblGrid>
        <w:gridCol w:w="6912"/>
        <w:gridCol w:w="2764"/>
        <w:gridCol w:w="1382"/>
        <w:gridCol w:w="1382"/>
        <w:gridCol w:w="1382"/>
      </w:tblGrid>
      <w:tr>
        <w:trPr>
          <w:tblHeader w:val="true"/>
        </w:trPr>
        <w:tc>
          <w:tcPr>
            <w:tcW w:type="dxa" w:w="6912"/>
            <w:shd w:val="clear" w:color="auto" w:fill="D9E2F3"/>
          </w:tcPr>
          <w:p>
            <w:pPr>
              <w:spacing w:after="0"/>
            </w:pPr>
            <w:r>
              <w:rPr>
                <w:b/>
                <w:sz w:val="17"/>
              </w:rPr>
              <w:t>Decision or action</w:t>
            </w:r>
          </w:p>
        </w:tc>
        <w:tc>
          <w:tcPr>
            <w:tcW w:type="dxa" w:w="2764"/>
            <w:shd w:val="clear" w:color="auto" w:fill="D9E2F3"/>
          </w:tcPr>
          <w:p>
            <w:pPr>
              <w:spacing w:after="0"/>
            </w:pPr>
            <w:r>
              <w:rPr>
                <w:b/>
                <w:sz w:val="17"/>
              </w:rPr>
              <w:t>Owner</w:t>
            </w:r>
          </w:p>
        </w:tc>
        <w:tc>
          <w:tcPr>
            <w:tcW w:type="dxa" w:w="1382"/>
            <w:shd w:val="clear" w:color="auto" w:fill="D9E2F3"/>
          </w:tcPr>
          <w:p>
            <w:pPr>
              <w:spacing w:after="0"/>
            </w:pPr>
            <w:r>
              <w:rPr>
                <w:b/>
                <w:sz w:val="17"/>
              </w:rPr>
              <w:t>Due date</w:t>
            </w:r>
          </w:p>
        </w:tc>
        <w:tc>
          <w:tcPr>
            <w:tcW w:type="dxa" w:w="1382"/>
            <w:shd w:val="clear" w:color="auto" w:fill="D9E2F3"/>
          </w:tcPr>
          <w:p>
            <w:pPr>
              <w:spacing w:after="0"/>
            </w:pPr>
            <w:r>
              <w:rPr>
                <w:b/>
                <w:sz w:val="17"/>
              </w:rPr>
              <w:t>CAPA number (if a CAPA)</w:t>
            </w:r>
          </w:p>
        </w:tc>
        <w:tc>
          <w:tcPr>
            <w:tcW w:type="dxa" w:w="1382"/>
            <w:shd w:val="clear" w:color="auto" w:fill="D9E2F3"/>
          </w:tcPr>
          <w:p>
            <w:pPr>
              <w:spacing w:after="0"/>
            </w:pPr>
            <w:r>
              <w:rPr>
                <w:b/>
                <w:sz w:val="17"/>
              </w:rPr>
              <w:t>Date done</w:t>
            </w: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r>
        <w:trPr>
          <w:cantSplit w:val="true"/>
          <w:trHeight w:val="461"/>
        </w:trPr>
        <w:tc>
          <w:tcPr>
            <w:tcW w:type="dxa" w:w="6912"/>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r>
    </w:tbl>
    <w:p>
      <w:pPr>
        <w:spacing w:after="40"/>
      </w:pPr>
    </w:p>
    <w:p>
      <w:pPr>
        <w:pStyle w:val="Heading2"/>
      </w:pPr>
      <w:r>
        <w:t>Management review sign-off</w:t>
      </w: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keepNext/>
              <w:spacing w:after="0"/>
            </w:pPr>
            <w:r>
              <w:rPr>
                <w:b w:val="0"/>
                <w:sz w:val="17"/>
              </w:rPr>
              <w:t>Quality Lead</w:t>
            </w:r>
          </w:p>
        </w:tc>
        <w:tc>
          <w:tcPr>
            <w:tcW w:type="dxa" w:w="3594"/>
          </w:tcPr>
          <w:p>
            <w:pPr>
              <w:keepNext/>
              <w:spacing w:after="0"/>
            </w:pPr>
          </w:p>
        </w:tc>
        <w:tc>
          <w:tcPr>
            <w:tcW w:type="dxa" w:w="4147"/>
          </w:tcPr>
          <w:p>
            <w:pPr>
              <w:keepNext/>
              <w:spacing w:after="0"/>
            </w:pPr>
          </w:p>
        </w:tc>
        <w:tc>
          <w:tcPr>
            <w:tcW w:type="dxa" w:w="2211"/>
          </w:tcPr>
          <w:p>
            <w:pPr>
              <w:keepNext/>
              <w:spacing w:after="0"/>
            </w:pPr>
          </w:p>
        </w:tc>
      </w:tr>
      <w:tr>
        <w:trPr>
          <w:cantSplit w:val="true"/>
          <w:trHeight w:val="547"/>
        </w:trPr>
        <w:tc>
          <w:tcPr>
            <w:tcW w:type="dxa" w:w="3870"/>
          </w:tcPr>
          <w:p>
            <w:pPr>
              <w:spacing w:after="0"/>
            </w:pPr>
            <w:r>
              <w:rPr>
                <w:b w:val="0"/>
                <w:sz w:val="17"/>
              </w:rPr>
              <w:t>Site Director (or PI or independent reviewer where the Site Director is also the Quality Lead)</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F-700-02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F-700-02 Annual Audit Plan and Audit Report</w:t>
          </w:r>
        </w:p>
      </w:tc>
      <w:tc>
        <w:tcPr>
          <w:tcW w:type="dxa" w:w="4147"/>
        </w:tcPr>
        <w:p>
          <w:pPr>
            <w:jc w:val="right"/>
          </w:pPr>
          <w:r>
            <w:rPr>
              <w:b w:val="0"/>
              <w:color w:val="404040"/>
              <w:sz w:val="17"/>
            </w:rPr>
            <w:t>Ref: SOP-14</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F-700-02 Annual Audit Plan and Audit Report</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