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Internal QC Review Checklist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Records the study QC plan agreed before the first consent, consenters at 100% consent QC, and each QC review (consent QC, closeout QC, pre-audit check or added check) with its findings.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Before the first participant is consented, the Quality Lead and Lead CRC complete Part 1 and file it in the quality file with a copy in the ISF (SOP-14 5.2.1). The site runs no other routine sampling (SOP-14 5.2.3).</w:t>
      </w:r>
    </w:p>
    <w:p>
      <w:pPr>
        <w:pStyle w:val="ListBullet"/>
        <w:spacing w:after="0"/>
      </w:pPr>
      <w:r>
        <w:rPr>
          <w:b w:val="0"/>
          <w:sz w:val="18"/>
        </w:rPr>
        <w:t>QC is never self-review. Where only one person is delegated a task, the Quality Lead, or the independent reviewer if the Quality Lead did the work, performs the QC. A reviewer who is not an investigator checks only that a delegated investigator made and documented a medical judgment (SOP-14 5.4).</w:t>
      </w:r>
    </w:p>
    <w:p>
      <w:pPr>
        <w:pStyle w:val="ListBullet"/>
        <w:spacing w:after="0"/>
      </w:pPr>
      <w:r>
        <w:rPr>
          <w:b w:val="0"/>
          <w:sz w:val="18"/>
        </w:rPr>
        <w:t>Consent QC is recorded on F-301-01; record consenters returned to 100% here (SOP-14 5.3.3). Use Part 2 for closeout QC (SOP-15 5.5.2), pre-audit checks (SOP-13 5.4.4) and added checks.</w:t>
      </w:r>
    </w:p>
    <w:p>
      <w:pPr>
        <w:pStyle w:val="ListBullet"/>
        <w:spacing w:after="0"/>
      </w:pPr>
      <w:r>
        <w:rPr>
          <w:b w:val="0"/>
          <w:sz w:val="18"/>
        </w:rPr>
        <w:t xml:space="preserve">The record owner corrects findings under SOP-07 and notes the date; the reviewer closes them. Critical findings go to the PI and Quality Lead the same day; major within </w:t>
      </w:r>
      <w:r>
        <w:rPr>
          <w:b w:val="0"/>
          <w:sz w:val="18"/>
          <w:highlight w:val="green"/>
        </w:rPr>
        <w:t>[DEFAULT: 2 business days]</w:t>
      </w:r>
      <w:r>
        <w:rPr>
          <w:b w:val="0"/>
          <w:sz w:val="18"/>
        </w:rPr>
        <w:t>. A finding that is a deviation also goes on F-308-01 (SOP-14 5.5).</w:t>
      </w:r>
    </w:p>
    <w:p>
      <w:pPr>
        <w:pStyle w:val="ListBullet"/>
        <w:spacing w:after="0"/>
      </w:pPr>
      <w:r>
        <w:rPr>
          <w:b w:val="0"/>
          <w:sz w:val="18"/>
        </w:rPr>
        <w:t>A possible fabrication or falsification is not discussed with the person involved; report it to the Quality Lead or Site Director, or the independent reviewer if either may be involved (SOP-14 5.5.4).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Protocol number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PI name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Part 1. Study QC plan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Plan date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Lead CRC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Quality Lead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Consent reviewers for this study (SOP-14 5.4)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Investigators who sign eligibility on F-303-02 (SOP-05)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Blinded studies: who performs QC of unblinded records (SOP-14 5.4.4)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QC performed by (internal, independent reviewer, external service) (SOP-14 5.4 Site decision)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Copy filed in ISF (date)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Added checks (SOP-14 5.2.2)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216"/>
        <w:gridCol w:w="3216"/>
        <w:gridCol w:w="2144"/>
        <w:gridCol w:w="1072"/>
      </w:tblGrid>
      <w:tr>
        <w:trPr>
          <w:tblHeader w:val="true"/>
        </w:trPr>
        <w:tc>
          <w:tcPr>
            <w:tcW w:type="dxa" w:w="321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Added check (sponsor-required or risk-based)</w:t>
            </w:r>
          </w:p>
        </w:tc>
        <w:tc>
          <w:tcPr>
            <w:tcW w:type="dxa" w:w="321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Reason</w:t>
            </w:r>
          </w:p>
        </w:tc>
        <w:tc>
          <w:tcPr>
            <w:tcW w:type="dxa" w:w="214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End point</w:t>
            </w:r>
          </w:p>
        </w:tc>
        <w:tc>
          <w:tcPr>
            <w:tcW w:type="dxa" w:w="107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Ended (date)</w:t>
            </w: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keepNext/>
              <w:spacing w:after="0"/>
            </w:pPr>
          </w:p>
        </w:tc>
        <w:tc>
          <w:tcPr>
            <w:tcW w:type="dxa" w:w="3216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keepNext/>
              <w:spacing w:after="0"/>
            </w:pPr>
          </w:p>
        </w:tc>
        <w:tc>
          <w:tcPr>
            <w:tcW w:type="dxa" w:w="3216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spacing w:after="0"/>
            </w:pPr>
          </w:p>
        </w:tc>
        <w:tc>
          <w:tcPr>
            <w:tcW w:type="dxa" w:w="3216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Consenters at 100% consent QC (SOP-14 5.3.3)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412"/>
        <w:gridCol w:w="3618"/>
        <w:gridCol w:w="1206"/>
        <w:gridCol w:w="2412"/>
      </w:tblGrid>
      <w:tr>
        <w:trPr>
          <w:tblHeader w:val="true"/>
        </w:trPr>
        <w:tc>
          <w:tcPr>
            <w:tcW w:type="dxa" w:w="241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Consenter</w:t>
            </w:r>
          </w:p>
        </w:tc>
        <w:tc>
          <w:tcPr>
            <w:tcW w:type="dxa" w:w="361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Trigger (consent error found by QC, monitor or audit)</w:t>
            </w:r>
          </w:p>
        </w:tc>
        <w:tc>
          <w:tcPr>
            <w:tcW w:type="dxa" w:w="120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type="dxa" w:w="241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Next 3 consents reviewed; back to 1 in 5 (date)</w:t>
            </w:r>
          </w:p>
        </w:tc>
      </w:tr>
      <w:tr>
        <w:trPr>
          <w:cantSplit w:val="true"/>
          <w:trHeight w:val="461"/>
        </w:trPr>
        <w:tc>
          <w:tcPr>
            <w:tcW w:type="dxa" w:w="2412"/>
          </w:tcPr>
          <w:p>
            <w:pPr>
              <w:keepNext/>
              <w:spacing w:after="0"/>
            </w:pPr>
          </w:p>
        </w:tc>
        <w:tc>
          <w:tcPr>
            <w:tcW w:type="dxa" w:w="3618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241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412"/>
          </w:tcPr>
          <w:p>
            <w:pPr>
              <w:keepNext/>
              <w:spacing w:after="0"/>
            </w:pPr>
          </w:p>
        </w:tc>
        <w:tc>
          <w:tcPr>
            <w:tcW w:type="dxa" w:w="3618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241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412"/>
          </w:tcPr>
          <w:p>
            <w:pPr>
              <w:keepNext/>
              <w:spacing w:after="0"/>
            </w:pPr>
          </w:p>
        </w:tc>
        <w:tc>
          <w:tcPr>
            <w:tcW w:type="dxa" w:w="3618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241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412"/>
          </w:tcPr>
          <w:p>
            <w:pPr>
              <w:spacing w:after="0"/>
            </w:pPr>
          </w:p>
        </w:tc>
        <w:tc>
          <w:tcPr>
            <w:tcW w:type="dxa" w:w="3618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  <w:tc>
          <w:tcPr>
            <w:tcW w:type="dxa" w:w="241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2. QC review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Participant ID or file reviewed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Record reviewed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Activity performed by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Reviewer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Review date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Review type (closeout QC, pre-audit check, added check)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Review items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96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89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Yes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No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Current consent signed before any study procedure, with F-301-01 complete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Eligibility confirmed by an investigator on F-303-02 before enrollment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Source attributable, legible, contemporaneous, original, accurate and complete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Visits within windows; missed procedures recorded as deviations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AEs captured, signed off by an investigator and reported on time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IP records match F-304-01, F-304-04, F-304-02 and IRT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Primary endpoint and key safety data in EDC match source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Everyone who did a task was delegated and trained first (F-302-01, F-103-01)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Deviations recorded and reported (F-308-01)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ISF current, including IRB approvals and consent versions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Findings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877"/>
        <w:gridCol w:w="3508"/>
        <w:gridCol w:w="877"/>
        <w:gridCol w:w="1754"/>
        <w:gridCol w:w="1754"/>
        <w:gridCol w:w="877"/>
      </w:tblGrid>
      <w:tr>
        <w:trPr>
          <w:tblHeader w:val="true"/>
        </w:trPr>
        <w:tc>
          <w:tcPr>
            <w:tcW w:type="dxa" w:w="877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Finding number</w:t>
            </w:r>
          </w:p>
        </w:tc>
        <w:tc>
          <w:tcPr>
            <w:tcW w:type="dxa" w:w="3508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Description and record</w:t>
            </w:r>
          </w:p>
        </w:tc>
        <w:tc>
          <w:tcPr>
            <w:tcW w:type="dxa" w:w="877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Grade (critical, major, minor)</w:t>
            </w:r>
          </w:p>
        </w:tc>
        <w:tc>
          <w:tcPr>
            <w:tcW w:type="dxa" w:w="175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Record owner and correction date</w:t>
            </w:r>
          </w:p>
        </w:tc>
        <w:tc>
          <w:tcPr>
            <w:tcW w:type="dxa" w:w="175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Reported to PI and Quality Lead (date); F-308-01 or CAPA number</w:t>
            </w:r>
          </w:p>
        </w:tc>
        <w:tc>
          <w:tcPr>
            <w:tcW w:type="dxa" w:w="877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Closed (date)</w:t>
            </w:r>
          </w:p>
        </w:tc>
      </w:tr>
      <w:tr>
        <w:trPr>
          <w:cantSplit w:val="true"/>
          <w:trHeight w:val="461"/>
        </w:trPr>
        <w:tc>
          <w:tcPr>
            <w:tcW w:type="dxa" w:w="877"/>
          </w:tcPr>
          <w:p>
            <w:pPr>
              <w:spacing w:after="0"/>
            </w:pPr>
          </w:p>
        </w:tc>
        <w:tc>
          <w:tcPr>
            <w:tcW w:type="dxa" w:w="3508"/>
          </w:tcPr>
          <w:p>
            <w:pPr>
              <w:spacing w:after="0"/>
            </w:pPr>
          </w:p>
        </w:tc>
        <w:tc>
          <w:tcPr>
            <w:tcW w:type="dxa" w:w="877"/>
          </w:tcPr>
          <w:p>
            <w:pPr>
              <w:spacing w:after="0"/>
            </w:pPr>
          </w:p>
        </w:tc>
        <w:tc>
          <w:tcPr>
            <w:tcW w:type="dxa" w:w="1754"/>
          </w:tcPr>
          <w:p>
            <w:pPr>
              <w:spacing w:after="0"/>
            </w:pPr>
          </w:p>
        </w:tc>
        <w:tc>
          <w:tcPr>
            <w:tcW w:type="dxa" w:w="1754"/>
          </w:tcPr>
          <w:p>
            <w:pPr>
              <w:spacing w:after="0"/>
            </w:pPr>
          </w:p>
        </w:tc>
        <w:tc>
          <w:tcPr>
            <w:tcW w:type="dxa" w:w="877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77"/>
          </w:tcPr>
          <w:p>
            <w:pPr>
              <w:spacing w:after="0"/>
            </w:pPr>
          </w:p>
        </w:tc>
        <w:tc>
          <w:tcPr>
            <w:tcW w:type="dxa" w:w="3508"/>
          </w:tcPr>
          <w:p>
            <w:pPr>
              <w:spacing w:after="0"/>
            </w:pPr>
          </w:p>
        </w:tc>
        <w:tc>
          <w:tcPr>
            <w:tcW w:type="dxa" w:w="877"/>
          </w:tcPr>
          <w:p>
            <w:pPr>
              <w:spacing w:after="0"/>
            </w:pPr>
          </w:p>
        </w:tc>
        <w:tc>
          <w:tcPr>
            <w:tcW w:type="dxa" w:w="1754"/>
          </w:tcPr>
          <w:p>
            <w:pPr>
              <w:spacing w:after="0"/>
            </w:pPr>
          </w:p>
        </w:tc>
        <w:tc>
          <w:tcPr>
            <w:tcW w:type="dxa" w:w="1754"/>
          </w:tcPr>
          <w:p>
            <w:pPr>
              <w:spacing w:after="0"/>
            </w:pPr>
          </w:p>
        </w:tc>
        <w:tc>
          <w:tcPr>
            <w:tcW w:type="dxa" w:w="877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77"/>
          </w:tcPr>
          <w:p>
            <w:pPr>
              <w:spacing w:after="0"/>
            </w:pPr>
          </w:p>
        </w:tc>
        <w:tc>
          <w:tcPr>
            <w:tcW w:type="dxa" w:w="3508"/>
          </w:tcPr>
          <w:p>
            <w:pPr>
              <w:spacing w:after="0"/>
            </w:pPr>
          </w:p>
        </w:tc>
        <w:tc>
          <w:tcPr>
            <w:tcW w:type="dxa" w:w="877"/>
          </w:tcPr>
          <w:p>
            <w:pPr>
              <w:spacing w:after="0"/>
            </w:pPr>
          </w:p>
        </w:tc>
        <w:tc>
          <w:tcPr>
            <w:tcW w:type="dxa" w:w="1754"/>
          </w:tcPr>
          <w:p>
            <w:pPr>
              <w:spacing w:after="0"/>
            </w:pPr>
          </w:p>
        </w:tc>
        <w:tc>
          <w:tcPr>
            <w:tcW w:type="dxa" w:w="1754"/>
          </w:tcPr>
          <w:p>
            <w:pPr>
              <w:spacing w:after="0"/>
            </w:pPr>
          </w:p>
        </w:tc>
        <w:tc>
          <w:tcPr>
            <w:tcW w:type="dxa" w:w="877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77"/>
          </w:tcPr>
          <w:p>
            <w:pPr>
              <w:spacing w:after="0"/>
            </w:pPr>
          </w:p>
        </w:tc>
        <w:tc>
          <w:tcPr>
            <w:tcW w:type="dxa" w:w="3508"/>
          </w:tcPr>
          <w:p>
            <w:pPr>
              <w:spacing w:after="0"/>
            </w:pPr>
          </w:p>
        </w:tc>
        <w:tc>
          <w:tcPr>
            <w:tcW w:type="dxa" w:w="877"/>
          </w:tcPr>
          <w:p>
            <w:pPr>
              <w:spacing w:after="0"/>
            </w:pPr>
          </w:p>
        </w:tc>
        <w:tc>
          <w:tcPr>
            <w:tcW w:type="dxa" w:w="1754"/>
          </w:tcPr>
          <w:p>
            <w:pPr>
              <w:spacing w:after="0"/>
            </w:pPr>
          </w:p>
        </w:tc>
        <w:tc>
          <w:tcPr>
            <w:tcW w:type="dxa" w:w="1754"/>
          </w:tcPr>
          <w:p>
            <w:pPr>
              <w:spacing w:after="0"/>
            </w:pPr>
          </w:p>
        </w:tc>
        <w:tc>
          <w:tcPr>
            <w:tcW w:type="dxa" w:w="877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77"/>
          </w:tcPr>
          <w:p>
            <w:pPr>
              <w:spacing w:after="0"/>
            </w:pPr>
          </w:p>
        </w:tc>
        <w:tc>
          <w:tcPr>
            <w:tcW w:type="dxa" w:w="3508"/>
          </w:tcPr>
          <w:p>
            <w:pPr>
              <w:spacing w:after="0"/>
            </w:pPr>
          </w:p>
        </w:tc>
        <w:tc>
          <w:tcPr>
            <w:tcW w:type="dxa" w:w="877"/>
          </w:tcPr>
          <w:p>
            <w:pPr>
              <w:spacing w:after="0"/>
            </w:pPr>
          </w:p>
        </w:tc>
        <w:tc>
          <w:tcPr>
            <w:tcW w:type="dxa" w:w="1754"/>
          </w:tcPr>
          <w:p>
            <w:pPr>
              <w:spacing w:after="0"/>
            </w:pPr>
          </w:p>
        </w:tc>
        <w:tc>
          <w:tcPr>
            <w:tcW w:type="dxa" w:w="1754"/>
          </w:tcPr>
          <w:p>
            <w:pPr>
              <w:spacing w:after="0"/>
            </w:pPr>
          </w:p>
        </w:tc>
        <w:tc>
          <w:tcPr>
            <w:tcW w:type="dxa" w:w="877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77"/>
          </w:tcPr>
          <w:p>
            <w:pPr>
              <w:spacing w:after="0"/>
            </w:pPr>
          </w:p>
        </w:tc>
        <w:tc>
          <w:tcPr>
            <w:tcW w:type="dxa" w:w="3508"/>
          </w:tcPr>
          <w:p>
            <w:pPr>
              <w:spacing w:after="0"/>
            </w:pPr>
          </w:p>
        </w:tc>
        <w:tc>
          <w:tcPr>
            <w:tcW w:type="dxa" w:w="877"/>
          </w:tcPr>
          <w:p>
            <w:pPr>
              <w:spacing w:after="0"/>
            </w:pPr>
          </w:p>
        </w:tc>
        <w:tc>
          <w:tcPr>
            <w:tcW w:type="dxa" w:w="1754"/>
          </w:tcPr>
          <w:p>
            <w:pPr>
              <w:spacing w:after="0"/>
            </w:pPr>
          </w:p>
        </w:tc>
        <w:tc>
          <w:tcPr>
            <w:tcW w:type="dxa" w:w="1754"/>
          </w:tcPr>
          <w:p>
            <w:pPr>
              <w:spacing w:after="0"/>
            </w:pPr>
          </w:p>
        </w:tc>
        <w:tc>
          <w:tcPr>
            <w:tcW w:type="dxa" w:w="877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77"/>
          </w:tcPr>
          <w:p>
            <w:pPr>
              <w:spacing w:after="0"/>
            </w:pPr>
          </w:p>
        </w:tc>
        <w:tc>
          <w:tcPr>
            <w:tcW w:type="dxa" w:w="3508"/>
          </w:tcPr>
          <w:p>
            <w:pPr>
              <w:spacing w:after="0"/>
            </w:pPr>
          </w:p>
        </w:tc>
        <w:tc>
          <w:tcPr>
            <w:tcW w:type="dxa" w:w="877"/>
          </w:tcPr>
          <w:p>
            <w:pPr>
              <w:spacing w:after="0"/>
            </w:pPr>
          </w:p>
        </w:tc>
        <w:tc>
          <w:tcPr>
            <w:tcW w:type="dxa" w:w="1754"/>
          </w:tcPr>
          <w:p>
            <w:pPr>
              <w:spacing w:after="0"/>
            </w:pPr>
          </w:p>
        </w:tc>
        <w:tc>
          <w:tcPr>
            <w:tcW w:type="dxa" w:w="1754"/>
          </w:tcPr>
          <w:p>
            <w:pPr>
              <w:spacing w:after="0"/>
            </w:pPr>
          </w:p>
        </w:tc>
        <w:tc>
          <w:tcPr>
            <w:tcW w:type="dxa" w:w="877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77"/>
          </w:tcPr>
          <w:p>
            <w:pPr>
              <w:spacing w:after="0"/>
            </w:pPr>
          </w:p>
        </w:tc>
        <w:tc>
          <w:tcPr>
            <w:tcW w:type="dxa" w:w="3508"/>
          </w:tcPr>
          <w:p>
            <w:pPr>
              <w:spacing w:after="0"/>
            </w:pPr>
          </w:p>
        </w:tc>
        <w:tc>
          <w:tcPr>
            <w:tcW w:type="dxa" w:w="877"/>
          </w:tcPr>
          <w:p>
            <w:pPr>
              <w:spacing w:after="0"/>
            </w:pPr>
          </w:p>
        </w:tc>
        <w:tc>
          <w:tcPr>
            <w:tcW w:type="dxa" w:w="1754"/>
          </w:tcPr>
          <w:p>
            <w:pPr>
              <w:spacing w:after="0"/>
            </w:pPr>
          </w:p>
        </w:tc>
        <w:tc>
          <w:tcPr>
            <w:tcW w:type="dxa" w:w="1754"/>
          </w:tcPr>
          <w:p>
            <w:pPr>
              <w:spacing w:after="0"/>
            </w:pPr>
          </w:p>
        </w:tc>
        <w:tc>
          <w:tcPr>
            <w:tcW w:type="dxa" w:w="877"/>
          </w:tcPr>
          <w:p>
            <w:pPr>
              <w:spacing w:after="0"/>
            </w:pPr>
          </w:p>
        </w:tc>
      </w:tr>
    </w:tbl>
    <w:p>
      <w:pPr>
        <w:spacing w:after="4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701"/>
        <w:gridCol w:w="2508"/>
        <w:gridCol w:w="2894"/>
        <w:gridCol w:w="1543"/>
      </w:tblGrid>
      <w:tr>
        <w:trPr>
          <w:tblHeader w:val="true"/>
        </w:trPr>
        <w:tc>
          <w:tcPr>
            <w:tcW w:type="dxa" w:w="270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25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28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154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Reviewer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spacing w:after="0"/>
            </w:pPr>
            <w:r>
              <w:rPr>
                <w:b w:val="0"/>
                <w:sz w:val="17"/>
              </w:rPr>
              <w:t>Quality Lead</w:t>
            </w:r>
          </w:p>
        </w:tc>
        <w:tc>
          <w:tcPr>
            <w:tcW w:type="dxa" w:w="2508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543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296" w:right="1296" w:bottom="1008" w:left="1296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48" w:val="right"/>
      </w:tabs>
    </w:pPr>
    <w:r>
      <w:rPr>
        <w:b w:val="0"/>
        <w:color w:val="595959"/>
        <w:sz w:val="16"/>
      </w:rPr>
      <w:t xml:space="preserve">F-700-01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2.0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2315"/>
      <w:gridCol w:w="4438"/>
      <w:gridCol w:w="2894"/>
    </w:tblGrid>
    <w:tr>
      <w:tc>
        <w:tcPr>
          <w:tcW w:type="dxa" w:w="2315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4438"/>
        </w:tcPr>
        <w:p>
          <w:pPr>
            <w:jc w:val="center"/>
          </w:pPr>
          <w:r>
            <w:rPr>
              <w:b/>
              <w:color w:val="404040"/>
              <w:sz w:val="17"/>
            </w:rPr>
            <w:t>F-700-01 Internal QC Review Checklist</w:t>
          </w:r>
        </w:p>
      </w:tc>
      <w:tc>
        <w:tcPr>
          <w:tcW w:type="dxa" w:w="2894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SOP-14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F-700-01 Internal QC Review Checklist</dc:title>
  <dc:subject>Form</dc:subject>
  <dc:creator>American Institute for Medical Research (AIMR)</dc:creator>
  <cp:keywords>SOP; GCP; ICH E6(R3); clinical research site</cp:keywords>
  <dc:description>Independent Site SOP Library: Lean Edition, template release 2.0.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Lean Edition</cp:category>
</cp:coreProperties>
</file>