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Reportable New Information Assessment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Documents the PI's assessment of whether new information or an event must be reported to the IRB, and tracks the submission.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For each IRB, the Regulatory Coordinator completes the IRB page from the IRB's current reportable-event policy, with the window exactly as the IRB states it, and re-checks it at each study start and when the IRB announces a change (SOP-09 5.1.2).</w:t>
      </w:r>
    </w:p>
    <w:p>
      <w:pPr>
        <w:pStyle w:val="ListBullet"/>
        <w:spacing w:after="0"/>
      </w:pPr>
      <w:r>
        <w:rPr>
          <w:b w:val="0"/>
          <w:sz w:val="18"/>
        </w:rPr>
        <w:t>Open an assessment the day any staff member learns of possibly reportable information; the awareness date is the date any research staff member first received it (SOP-09 5.8.4). Consent errors and possible prompt-report deviations open here the same day (SOP-08 5.4.2).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PI, or a delegated Sub-I for medical events, records the determination and signs in time to submit within the IRB window, or </w:t>
      </w:r>
      <w:r>
        <w:rPr>
          <w:b w:val="0"/>
          <w:sz w:val="18"/>
          <w:highlight w:val="green"/>
        </w:rPr>
        <w:t>[DEFAULT: 5 calendar days of awareness]</w:t>
      </w:r>
      <w:r>
        <w:rPr>
          <w:b w:val="0"/>
          <w:sz w:val="18"/>
        </w:rPr>
        <w:t xml:space="preserve"> where the policy is silent (SOP-09 5.1.2, 5.8.5).</w:t>
      </w:r>
    </w:p>
    <w:p>
      <w:pPr>
        <w:pStyle w:val="ListBullet"/>
        <w:spacing w:after="0"/>
      </w:pPr>
      <w:r>
        <w:rPr>
          <w:b w:val="0"/>
          <w:sz w:val="18"/>
        </w:rPr>
        <w:t>Inform the sponsor before or at IRB submission; the PI's determination governs and any disagreement is recorded here (SOP-09 5.8.6). Where participants face an immediate hazard, an investigator acts first and reports afterwards (SOP-08 5.2).</w:t>
      </w:r>
    </w:p>
    <w:p>
      <w:pPr>
        <w:pStyle w:val="ListBullet"/>
        <w:spacing w:after="0"/>
      </w:pPr>
      <w:r>
        <w:rPr>
          <w:b w:val="0"/>
          <w:sz w:val="18"/>
        </w:rPr>
        <w:t>Submit through the IRB's system, file the determination, and track every IRB-required action until closed (SOP-09 5.8.7). A late submission states the reason and is also a deviation on F-308-01 (SOP-09 5.11.1).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of record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Assessment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IRB page (complete once per IRB and update when policy changes)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reportable categories (attach or summarize)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reporting window, exactly as the policy states (calendar or business days)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Submission route (portal form name)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Events the IRB does not want reported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Policy version and date checked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IND safety reports to the IRB, per study: sponsor submits on the investigator's behalf (confirmation filed) / site submits (SOP-09 5.7.3)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Information received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site became aware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Source (site event, IND safety report, DSMB, audit, complaint, deviation, consent error, other)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 (if applicable)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F-308-01 number (if a deviation)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spacing w:after="40"/>
      </w:pPr>
      <w:r>
        <w:rPr>
          <w:b w:val="0"/>
          <w:sz w:val="18"/>
        </w:rPr>
        <w:t>Description: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Unanticipated problem criteria (all three must be Yes)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Unexpected in nature, severity or frequency given the protocol, IB and consent form and the population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Related or possibly related to participation in the research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Suggests the research places participants or others at greater risk of harm than previously known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Other considerations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Falls in another IRB reportable category (name the category below)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Consent form or protocol change needed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Current participants need to be told or re-consented (SOP-04 5.11)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Sponsor agrees with the determination (if No, record the disagreement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Actions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Immediate protective actions taken or planned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informed (date)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Determination and submission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Determination (reportable: category / not reportable: rationale)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due date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submitted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Late: reason and F-308-01 number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determination and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IRB-required actions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13"/>
        <w:gridCol w:w="1378"/>
        <w:gridCol w:w="1378"/>
        <w:gridCol w:w="1378"/>
      </w:tblGrid>
      <w:tr>
        <w:trPr>
          <w:tblHeader w:val="true"/>
        </w:trPr>
        <w:tc>
          <w:tcPr>
            <w:tcW w:type="dxa" w:w="551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Action required by IRB (re-consent, consent revision, training, corrective action plan)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closed</w:t>
            </w:r>
          </w:p>
        </w:tc>
      </w:tr>
      <w:tr>
        <w:trPr>
          <w:cantSplit w:val="true"/>
          <w:trHeight w:val="461"/>
        </w:trPr>
        <w:tc>
          <w:tcPr>
            <w:tcW w:type="dxa" w:w="5513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13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13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13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Principal Investigator (or delegated Sub-I for medical events)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F-502-01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F-502-01 Reportable New Information Assessment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SOP-09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F-502-01 Reportable New Information Assessment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