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Record Archiving and Retrieval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Tracks each study's retention period and study records sent to archive, where they are stored, every retrieval, custody change, legal hold and destruction.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At closeout, the Regulatory Coordinator records the retention period as the longest of the rules in SOP-12 5.9.1. For IND and IDE records the end date is "until the sponsor confirms in writing" unless the contract sets a later date (SOP-12 5.9.2).</w:t>
      </w:r>
    </w:p>
    <w:p>
      <w:pPr>
        <w:pStyle w:val="ListBullet"/>
        <w:spacing w:after="0"/>
      </w:pPr>
      <w:r>
        <w:rPr>
          <w:b w:val="0"/>
          <w:sz w:val="18"/>
        </w:rPr>
        <w:t>Label boxes without participant names and record them here; tell the sponsor in writing where records are and who holds them (SOP-12 5.10.1). Log each retrieval and return (SOP-12 5.10.3). At the annual restore test, open a sample of archived electronic files and record it in Part 4 (SOP-12 5.10.2).</w:t>
      </w:r>
    </w:p>
    <w:p>
      <w:pPr>
        <w:pStyle w:val="ListBullet"/>
        <w:spacing w:after="0"/>
      </w:pPr>
      <w:r>
        <w:rPr>
          <w:b w:val="0"/>
          <w:sz w:val="18"/>
        </w:rPr>
        <w:t>Flag records under legal hold or "do not destroy until closed" (SOP-12 5.10.7). Before custody changes, record the new custodian; for IDE studies FDA is notified within 10 working days (SOP-12 5.10.4).</w:t>
      </w:r>
    </w:p>
    <w:p>
      <w:pPr>
        <w:pStyle w:val="ListBullet"/>
        <w:spacing w:after="0"/>
      </w:pPr>
      <w:r>
        <w:rPr>
          <w:b w:val="0"/>
          <w:sz w:val="18"/>
        </w:rPr>
        <w:t xml:space="preserve">Destroy records only after the retention end date, the sponsor's written confirmation and Site Director approval; without a sponsor reply send </w:t>
      </w:r>
      <w:r>
        <w:rPr>
          <w:b w:val="0"/>
          <w:sz w:val="18"/>
          <w:highlight w:val="green"/>
        </w:rPr>
        <w:t>[DEFAULT: two follow-up notices 90 days apart]</w:t>
      </w:r>
      <w:r>
        <w:rPr>
          <w:b w:val="0"/>
          <w:sz w:val="18"/>
        </w:rPr>
        <w:t xml:space="preserve"> (SOP-12 5.10.5).</w:t>
      </w:r>
    </w:p>
    <w:p>
      <w:pPr>
        <w:pStyle w:val="ListBullet"/>
        <w:spacing w:after="0"/>
      </w:pPr>
      <w:r>
        <w:rPr>
          <w:b w:val="0"/>
          <w:sz w:val="18"/>
        </w:rPr>
        <w:t xml:space="preserve">A second person witnesses destruction or checks the vendor certificate; where only one person is available, the Site Director signs the destruction list. Keep the destruction record </w:t>
      </w:r>
      <w:r>
        <w:rPr>
          <w:b w:val="0"/>
          <w:sz w:val="18"/>
          <w:highlight w:val="green"/>
        </w:rPr>
        <w:t>[DEFAULT: permanently]</w:t>
      </w:r>
      <w:r>
        <w:rPr>
          <w:b w:val="0"/>
          <w:sz w:val="18"/>
        </w:rPr>
        <w:t xml:space="preserve"> (SOP-12 5.10.6).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Archive location or vendor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Retention period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2"/>
        <w:gridCol w:w="4608"/>
        <w:gridCol w:w="4608"/>
        <w:gridCol w:w="1536"/>
      </w:tblGrid>
      <w:tr>
        <w:trPr>
          <w:tblHeader w:val="true"/>
        </w:trPr>
        <w:tc>
          <w:tcPr>
            <w:tcW w:type="dxa" w:w="3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Protocol and sponsor</w:t>
            </w:r>
          </w:p>
        </w:tc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Retention period and trigger (SOP-12 5.9.1)</w:t>
            </w:r>
          </w:p>
        </w:tc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CTA terms: sponsor notice before destruction, who pays for storage</w:t>
            </w:r>
          </w:p>
        </w:tc>
        <w:tc>
          <w:tcPr>
            <w:tcW w:type="dxa" w:w="15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Recorded by (date)</w:t>
            </w: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Archive record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26"/>
        <w:gridCol w:w="1063"/>
        <w:gridCol w:w="3190"/>
        <w:gridCol w:w="1063"/>
        <w:gridCol w:w="2126"/>
        <w:gridCol w:w="2126"/>
        <w:gridCol w:w="1063"/>
        <w:gridCol w:w="1063"/>
      </w:tblGrid>
      <w:tr>
        <w:trPr>
          <w:tblHeader w:val="true"/>
        </w:trPr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and sponsor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Box or file ID</w:t>
            </w:r>
          </w:p>
        </w:tc>
        <w:tc>
          <w:tcPr>
            <w:tcW w:type="dxa" w:w="319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Contents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archived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Storage location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Retention end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Archived by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hold or do-not-destroy flag (date placed and released)</w:t>
            </w: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Retrievals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1256"/>
        <w:gridCol w:w="3770"/>
        <w:gridCol w:w="2513"/>
        <w:gridCol w:w="1256"/>
        <w:gridCol w:w="1256"/>
        <w:gridCol w:w="1256"/>
        <w:gridCol w:w="1256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requested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Requester</w:t>
            </w:r>
          </w:p>
        </w:tc>
        <w:tc>
          <w:tcPr>
            <w:tcW w:type="dxa" w:w="377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Records requested (box or file ID)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Purpose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retrieved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Received by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returned</w:t>
            </w:r>
          </w:p>
        </w:tc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Condition on return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125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4. Readability 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36"/>
        <w:gridCol w:w="4608"/>
        <w:gridCol w:w="6144"/>
        <w:gridCol w:w="1536"/>
      </w:tblGrid>
      <w:tr>
        <w:trPr>
          <w:tblHeader w:val="true"/>
        </w:trPr>
        <w:tc>
          <w:tcPr>
            <w:tcW w:type="dxa" w:w="15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Archived files opened at the annual restore test</w:t>
            </w:r>
          </w:p>
        </w:tc>
        <w:tc>
          <w:tcPr>
            <w:tcW w:type="dxa" w:w="6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Result and action</w:t>
            </w:r>
          </w:p>
        </w:tc>
        <w:tc>
          <w:tcPr>
            <w:tcW w:type="dxa" w:w="15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By</w:t>
            </w: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6144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6144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6144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6144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5. Custody transfers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82"/>
        <w:gridCol w:w="4147"/>
        <w:gridCol w:w="2764"/>
        <w:gridCol w:w="2764"/>
        <w:gridCol w:w="1382"/>
        <w:gridCol w:w="1382"/>
      </w:tblGrid>
      <w:tr>
        <w:trPr>
          <w:tblHeader w:val="true"/>
        </w:trPr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Records (protocol, box or file IDs)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New custodian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Custody agreement reference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Sponsor notified (date)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FDA notified, IDE only (date)</w:t>
            </w: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6. Destruction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47"/>
        <w:gridCol w:w="2764"/>
        <w:gridCol w:w="1382"/>
        <w:gridCol w:w="1382"/>
        <w:gridCol w:w="1382"/>
        <w:gridCol w:w="2764"/>
      </w:tblGrid>
      <w:tr>
        <w:trPr>
          <w:tblHeader w:val="true"/>
        </w:trPr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Records destroyed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Sponsor confirmation reference; follow-up notices sent (dates)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Site Director approval (date)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Method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destroyed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Witness or certificate checked by</w:t>
            </w: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F-402-01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F-402-01 Record Archiving and Retrieval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F-402-01 Record Archiving and Retrieval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